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26D1C" w14:textId="17728693" w:rsidR="00A616ED" w:rsidRDefault="002B24C7">
      <w:pPr>
        <w:rPr>
          <w:rFonts w:ascii="Arial" w:hAnsi="Arial" w:cs="Arial"/>
          <w:b/>
          <w:u w:val="single"/>
          <w:lang w:val="en-US"/>
        </w:rPr>
      </w:pPr>
      <w:r>
        <w:rPr>
          <w:rFonts w:ascii="Arial" w:hAnsi="Arial" w:cs="Arial"/>
          <w:b/>
          <w:u w:val="single"/>
          <w:lang w:val="en-US"/>
        </w:rPr>
        <w:t>I</w:t>
      </w:r>
      <w:r w:rsidR="00B0571A" w:rsidRPr="00B0571A">
        <w:rPr>
          <w:rFonts w:ascii="Arial" w:hAnsi="Arial" w:cs="Arial"/>
          <w:b/>
          <w:u w:val="single"/>
          <w:lang w:val="en-US"/>
        </w:rPr>
        <w:t>ntroduction</w:t>
      </w:r>
    </w:p>
    <w:p w14:paraId="2440B08D" w14:textId="77777777" w:rsidR="00273419" w:rsidRDefault="00DC6297" w:rsidP="002320C4">
      <w:pPr>
        <w:jc w:val="both"/>
        <w:rPr>
          <w:rFonts w:ascii="Arial" w:hAnsi="Arial" w:cs="Arial"/>
          <w:lang w:val="en-US"/>
        </w:rPr>
      </w:pPr>
      <w:r w:rsidRPr="002320C4">
        <w:rPr>
          <w:rFonts w:ascii="Arial" w:hAnsi="Arial" w:cs="Arial"/>
          <w:lang w:val="en-US"/>
        </w:rPr>
        <w:t xml:space="preserve">In its submission to the Kaplan Arbitration Board on Primary Care, the Ministry of Health and Long-Term Care (MOHLTC) raised a series of concerns about receiving value for money from its investment in the Family Health Organization (FHO) model.  </w:t>
      </w:r>
      <w:r w:rsidR="008230FD">
        <w:rPr>
          <w:rFonts w:ascii="Arial" w:hAnsi="Arial" w:cs="Arial"/>
          <w:lang w:val="en-US"/>
        </w:rPr>
        <w:t>T</w:t>
      </w:r>
      <w:r w:rsidR="002320C4" w:rsidRPr="002320C4">
        <w:rPr>
          <w:rFonts w:ascii="Arial" w:hAnsi="Arial" w:cs="Arial"/>
          <w:lang w:val="en-US"/>
        </w:rPr>
        <w:t xml:space="preserve">he OMA has </w:t>
      </w:r>
      <w:r w:rsidR="008230FD">
        <w:rPr>
          <w:rFonts w:ascii="Arial" w:hAnsi="Arial" w:cs="Arial"/>
          <w:lang w:val="en-US"/>
        </w:rPr>
        <w:t>responded</w:t>
      </w:r>
      <w:r w:rsidR="002320C4" w:rsidRPr="002320C4">
        <w:rPr>
          <w:rFonts w:ascii="Arial" w:hAnsi="Arial" w:cs="Arial"/>
          <w:lang w:val="en-US"/>
        </w:rPr>
        <w:t xml:space="preserve"> that the </w:t>
      </w:r>
      <w:r w:rsidR="008230FD">
        <w:rPr>
          <w:rFonts w:ascii="Arial" w:hAnsi="Arial" w:cs="Arial"/>
          <w:lang w:val="en-US"/>
        </w:rPr>
        <w:t xml:space="preserve">claims data that the MOHLTC used to </w:t>
      </w:r>
      <w:r w:rsidR="002320C4" w:rsidRPr="002320C4">
        <w:rPr>
          <w:rFonts w:ascii="Arial" w:hAnsi="Arial" w:cs="Arial"/>
          <w:lang w:val="en-US"/>
        </w:rPr>
        <w:t xml:space="preserve">measure, capture and assess services </w:t>
      </w:r>
      <w:r w:rsidR="002320C4">
        <w:rPr>
          <w:rFonts w:ascii="Arial" w:hAnsi="Arial" w:cs="Arial"/>
          <w:lang w:val="en-US"/>
        </w:rPr>
        <w:t>and activities of FHO physicians</w:t>
      </w:r>
      <w:r w:rsidR="008230FD">
        <w:rPr>
          <w:rFonts w:ascii="Arial" w:hAnsi="Arial" w:cs="Arial"/>
          <w:lang w:val="en-US"/>
        </w:rPr>
        <w:t xml:space="preserve"> is not accurate </w:t>
      </w:r>
      <w:r w:rsidR="002320C4">
        <w:rPr>
          <w:rFonts w:ascii="Arial" w:hAnsi="Arial" w:cs="Arial"/>
          <w:lang w:val="en-US"/>
        </w:rPr>
        <w:t xml:space="preserve">because </w:t>
      </w:r>
      <w:r w:rsidR="008230FD">
        <w:rPr>
          <w:rFonts w:ascii="Arial" w:hAnsi="Arial" w:cs="Arial"/>
          <w:lang w:val="en-US"/>
        </w:rPr>
        <w:t>m</w:t>
      </w:r>
      <w:r w:rsidR="002320C4">
        <w:rPr>
          <w:rFonts w:ascii="Arial" w:hAnsi="Arial" w:cs="Arial"/>
          <w:lang w:val="en-US"/>
        </w:rPr>
        <w:t xml:space="preserve">any FHO physicians do not submit all of their shadow claims and because many activities </w:t>
      </w:r>
      <w:r w:rsidR="008230FD">
        <w:rPr>
          <w:rFonts w:ascii="Arial" w:hAnsi="Arial" w:cs="Arial"/>
          <w:lang w:val="en-US"/>
        </w:rPr>
        <w:t xml:space="preserve">such as virtual care </w:t>
      </w:r>
      <w:r w:rsidR="002320C4">
        <w:rPr>
          <w:rFonts w:ascii="Arial" w:hAnsi="Arial" w:cs="Arial"/>
          <w:lang w:val="en-US"/>
        </w:rPr>
        <w:t>are not recorded in the claims system.</w:t>
      </w:r>
      <w:r w:rsidR="008230FD">
        <w:rPr>
          <w:rFonts w:ascii="Arial" w:hAnsi="Arial" w:cs="Arial"/>
          <w:lang w:val="en-US"/>
        </w:rPr>
        <w:t xml:space="preserve">  The OMA further argued that complementary data sources, such as electronic medical records (EMR), needed to be used to fully appreciate the scope of services that FHO physicians provide.  However, no representative EMR data were availabl</w:t>
      </w:r>
      <w:r w:rsidR="00273419">
        <w:rPr>
          <w:rFonts w:ascii="Arial" w:hAnsi="Arial" w:cs="Arial"/>
          <w:lang w:val="en-US"/>
        </w:rPr>
        <w:t xml:space="preserve">e at the time of Arbitration </w:t>
      </w:r>
      <w:r w:rsidR="00A1514F">
        <w:rPr>
          <w:rFonts w:ascii="Arial" w:hAnsi="Arial" w:cs="Arial"/>
          <w:lang w:val="en-US"/>
        </w:rPr>
        <w:t>to support the OMA argument</w:t>
      </w:r>
      <w:r w:rsidR="008230FD">
        <w:rPr>
          <w:rFonts w:ascii="Arial" w:hAnsi="Arial" w:cs="Arial"/>
          <w:lang w:val="en-US"/>
        </w:rPr>
        <w:t>.</w:t>
      </w:r>
    </w:p>
    <w:p w14:paraId="60C1E1D8" w14:textId="77777777" w:rsidR="00273419" w:rsidRDefault="00273419" w:rsidP="002320C4">
      <w:pPr>
        <w:jc w:val="both"/>
        <w:rPr>
          <w:rFonts w:ascii="Arial" w:hAnsi="Arial" w:cs="Arial"/>
          <w:lang w:val="en-US"/>
        </w:rPr>
      </w:pPr>
      <w:r w:rsidRPr="00273419">
        <w:rPr>
          <w:rFonts w:ascii="Arial" w:hAnsi="Arial" w:cs="Arial"/>
          <w:lang w:val="en-US"/>
        </w:rPr>
        <w:t xml:space="preserve">More generally, </w:t>
      </w:r>
      <w:r>
        <w:rPr>
          <w:rFonts w:ascii="Arial" w:hAnsi="Arial" w:cs="Arial"/>
          <w:lang w:val="en-US"/>
        </w:rPr>
        <w:t xml:space="preserve">there is a wide recognized need to supplement the available claims data with the EMR data to better understand, capture and assess services that physicians in non-traditional FFS models provide, not just in Family Medicine but also in </w:t>
      </w:r>
      <w:r w:rsidR="007909C1">
        <w:rPr>
          <w:rFonts w:ascii="Arial" w:hAnsi="Arial" w:cs="Arial"/>
          <w:lang w:val="en-US"/>
        </w:rPr>
        <w:t xml:space="preserve">all </w:t>
      </w:r>
      <w:r>
        <w:rPr>
          <w:rFonts w:ascii="Arial" w:hAnsi="Arial" w:cs="Arial"/>
          <w:lang w:val="en-US"/>
        </w:rPr>
        <w:t>other Specialties.</w:t>
      </w:r>
    </w:p>
    <w:p w14:paraId="09020665" w14:textId="77777777" w:rsidR="00273419" w:rsidRPr="00273419" w:rsidRDefault="00273419" w:rsidP="002320C4">
      <w:pPr>
        <w:jc w:val="both"/>
        <w:rPr>
          <w:rFonts w:ascii="Arial" w:hAnsi="Arial" w:cs="Arial"/>
          <w:lang w:val="en-US"/>
        </w:rPr>
      </w:pPr>
      <w:r>
        <w:rPr>
          <w:rFonts w:ascii="Arial" w:hAnsi="Arial" w:cs="Arial"/>
          <w:lang w:val="en-US"/>
        </w:rPr>
        <w:t xml:space="preserve"> </w:t>
      </w:r>
    </w:p>
    <w:p w14:paraId="2DBC0BE3" w14:textId="77777777" w:rsidR="007909C1" w:rsidRDefault="007909C1" w:rsidP="002320C4">
      <w:pPr>
        <w:jc w:val="both"/>
        <w:rPr>
          <w:rFonts w:ascii="Arial" w:hAnsi="Arial" w:cs="Arial"/>
          <w:b/>
          <w:u w:val="single"/>
          <w:lang w:val="en-US"/>
        </w:rPr>
      </w:pPr>
      <w:r>
        <w:rPr>
          <w:rFonts w:ascii="Arial" w:hAnsi="Arial" w:cs="Arial"/>
          <w:b/>
          <w:u w:val="single"/>
          <w:lang w:val="en-US"/>
        </w:rPr>
        <w:t>Proposal</w:t>
      </w:r>
    </w:p>
    <w:p w14:paraId="2220C9F9" w14:textId="77777777" w:rsidR="007909C1" w:rsidRDefault="007909C1" w:rsidP="002320C4">
      <w:pPr>
        <w:jc w:val="both"/>
        <w:rPr>
          <w:rFonts w:ascii="Arial" w:hAnsi="Arial" w:cs="Arial"/>
          <w:lang w:val="en-US"/>
        </w:rPr>
      </w:pPr>
      <w:r>
        <w:rPr>
          <w:rFonts w:ascii="Arial" w:hAnsi="Arial" w:cs="Arial"/>
          <w:lang w:val="en-US"/>
        </w:rPr>
        <w:t>The SGFP proposes to collect data from the EMR records for a representative sample of physicians practicing in the Family Health Organizations and Family Health Groups.</w:t>
      </w:r>
    </w:p>
    <w:p w14:paraId="080417D4" w14:textId="1249DEFF" w:rsidR="0084189A" w:rsidRDefault="00E22DD0" w:rsidP="002320C4">
      <w:pPr>
        <w:jc w:val="both"/>
        <w:rPr>
          <w:rFonts w:ascii="Arial" w:hAnsi="Arial" w:cs="Arial"/>
          <w:lang w:val="en-US"/>
        </w:rPr>
      </w:pPr>
      <w:r>
        <w:rPr>
          <w:rFonts w:ascii="Arial" w:hAnsi="Arial" w:cs="Arial"/>
          <w:lang w:val="en-US"/>
        </w:rPr>
        <w:t>As noted above</w:t>
      </w:r>
      <w:r w:rsidR="0084189A">
        <w:rPr>
          <w:rFonts w:ascii="Arial" w:hAnsi="Arial" w:cs="Arial"/>
          <w:lang w:val="en-US"/>
        </w:rPr>
        <w:t>, though, that this project has the potential to support all Sections, Specialties and physicians who use EMR regularly in their practice.</w:t>
      </w:r>
    </w:p>
    <w:p w14:paraId="5EF12C5F" w14:textId="77777777" w:rsidR="007909C1" w:rsidRDefault="007909C1" w:rsidP="002320C4">
      <w:pPr>
        <w:jc w:val="both"/>
        <w:rPr>
          <w:rFonts w:ascii="Arial" w:hAnsi="Arial" w:cs="Arial"/>
          <w:lang w:val="en-US"/>
        </w:rPr>
      </w:pPr>
    </w:p>
    <w:p w14:paraId="65402D53" w14:textId="77777777" w:rsidR="007909C1" w:rsidRDefault="007909C1" w:rsidP="002320C4">
      <w:pPr>
        <w:jc w:val="both"/>
        <w:rPr>
          <w:rFonts w:ascii="Arial" w:hAnsi="Arial" w:cs="Arial"/>
          <w:b/>
          <w:u w:val="single"/>
          <w:lang w:val="en-US"/>
        </w:rPr>
      </w:pPr>
      <w:r w:rsidRPr="007909C1">
        <w:rPr>
          <w:rFonts w:ascii="Arial" w:hAnsi="Arial" w:cs="Arial"/>
          <w:b/>
          <w:u w:val="single"/>
          <w:lang w:val="en-US"/>
        </w:rPr>
        <w:t>What Can EMR Data Tell Us?</w:t>
      </w:r>
    </w:p>
    <w:p w14:paraId="6A17A9CF" w14:textId="230EEDF2" w:rsidR="007909C1" w:rsidRDefault="007909C1" w:rsidP="002320C4">
      <w:pPr>
        <w:jc w:val="both"/>
        <w:rPr>
          <w:rFonts w:ascii="Arial" w:hAnsi="Arial" w:cs="Arial"/>
          <w:lang w:val="en-US"/>
        </w:rPr>
      </w:pPr>
      <w:r w:rsidRPr="007909C1">
        <w:rPr>
          <w:rFonts w:ascii="Arial" w:hAnsi="Arial" w:cs="Arial"/>
          <w:lang w:val="en-US"/>
        </w:rPr>
        <w:t xml:space="preserve">The </w:t>
      </w:r>
      <w:r>
        <w:rPr>
          <w:rFonts w:ascii="Arial" w:hAnsi="Arial" w:cs="Arial"/>
          <w:lang w:val="en-US"/>
        </w:rPr>
        <w:t xml:space="preserve">SGFP has obtained a complete EMR data from a physician, excluding any confidential patient and physician information, and have asked the OMA Economics, Policy and Research to analyze and summarize these data for the purposes of both illustrating what kind of information is available in the data and to use this information to develop a request for the data extraction from the vendors. </w:t>
      </w:r>
      <w:r w:rsidR="00D87A8B">
        <w:rPr>
          <w:rFonts w:ascii="Arial" w:hAnsi="Arial" w:cs="Arial"/>
          <w:lang w:val="en-US"/>
        </w:rPr>
        <w:t xml:space="preserve">A visual concept for a </w:t>
      </w:r>
      <w:r w:rsidR="00D00593">
        <w:rPr>
          <w:rFonts w:ascii="Arial" w:hAnsi="Arial" w:cs="Arial"/>
          <w:lang w:val="en-US"/>
        </w:rPr>
        <w:t>TELUS</w:t>
      </w:r>
      <w:r w:rsidR="00D87A8B">
        <w:rPr>
          <w:rFonts w:ascii="Arial" w:hAnsi="Arial" w:cs="Arial"/>
          <w:lang w:val="en-US"/>
        </w:rPr>
        <w:t xml:space="preserve"> EMR Data Extraction Tool is provided in Appendix A by Dr. Adam Stewart.</w:t>
      </w:r>
    </w:p>
    <w:p w14:paraId="28DA502E" w14:textId="4A4911C7" w:rsidR="007909C1" w:rsidRDefault="00D00593" w:rsidP="002320C4">
      <w:pPr>
        <w:jc w:val="both"/>
        <w:rPr>
          <w:rFonts w:ascii="Arial" w:hAnsi="Arial" w:cs="Arial"/>
          <w:lang w:val="en-US"/>
        </w:rPr>
      </w:pPr>
      <w:r>
        <w:rPr>
          <w:rFonts w:ascii="Arial" w:hAnsi="Arial" w:cs="Arial"/>
          <w:lang w:val="en-US"/>
        </w:rPr>
        <w:t>Examples of t</w:t>
      </w:r>
      <w:r w:rsidR="007909C1">
        <w:rPr>
          <w:rFonts w:ascii="Arial" w:hAnsi="Arial" w:cs="Arial"/>
          <w:lang w:val="en-US"/>
        </w:rPr>
        <w:t xml:space="preserve">he </w:t>
      </w:r>
      <w:r w:rsidR="00B504E7">
        <w:rPr>
          <w:rFonts w:ascii="Arial" w:hAnsi="Arial" w:cs="Arial"/>
          <w:lang w:val="en-US"/>
        </w:rPr>
        <w:t>detailed</w:t>
      </w:r>
      <w:r w:rsidR="007909C1">
        <w:rPr>
          <w:rFonts w:ascii="Arial" w:hAnsi="Arial" w:cs="Arial"/>
          <w:lang w:val="en-US"/>
        </w:rPr>
        <w:t xml:space="preserve"> data </w:t>
      </w:r>
      <w:r w:rsidR="00B504E7">
        <w:rPr>
          <w:rFonts w:ascii="Arial" w:hAnsi="Arial" w:cs="Arial"/>
          <w:lang w:val="en-US"/>
        </w:rPr>
        <w:t>analys</w:t>
      </w:r>
      <w:r w:rsidR="00D87A8B">
        <w:rPr>
          <w:rFonts w:ascii="Arial" w:hAnsi="Arial" w:cs="Arial"/>
          <w:lang w:val="en-US"/>
        </w:rPr>
        <w:t xml:space="preserve">is is presented in Appendix B based on the available data from </w:t>
      </w:r>
      <w:r>
        <w:rPr>
          <w:rFonts w:ascii="Arial" w:hAnsi="Arial" w:cs="Arial"/>
          <w:lang w:val="en-US"/>
        </w:rPr>
        <w:t>a single physician</w:t>
      </w:r>
      <w:r w:rsidR="00B504E7">
        <w:rPr>
          <w:rFonts w:ascii="Arial" w:hAnsi="Arial" w:cs="Arial"/>
          <w:lang w:val="en-US"/>
        </w:rPr>
        <w:t xml:space="preserve"> and summarized below.</w:t>
      </w:r>
      <w:r w:rsidR="007909C1">
        <w:rPr>
          <w:rFonts w:ascii="Arial" w:hAnsi="Arial" w:cs="Arial"/>
          <w:lang w:val="en-US"/>
        </w:rPr>
        <w:t xml:space="preserve">  </w:t>
      </w:r>
      <w:r w:rsidR="00002C2A">
        <w:rPr>
          <w:rFonts w:ascii="Arial" w:hAnsi="Arial" w:cs="Arial"/>
          <w:lang w:val="en-US"/>
        </w:rPr>
        <w:t xml:space="preserve">As mentioned, the purpose of this analysis is to illustrate what type of information can be harnessed from the EMR data, not that </w:t>
      </w:r>
      <w:r w:rsidR="006828A6">
        <w:rPr>
          <w:rFonts w:ascii="Arial" w:hAnsi="Arial" w:cs="Arial"/>
          <w:lang w:val="en-US"/>
        </w:rPr>
        <w:t>this specific</w:t>
      </w:r>
      <w:r w:rsidR="00002C2A">
        <w:rPr>
          <w:rFonts w:ascii="Arial" w:hAnsi="Arial" w:cs="Arial"/>
          <w:lang w:val="en-US"/>
        </w:rPr>
        <w:t xml:space="preserve"> </w:t>
      </w:r>
      <w:r w:rsidR="006828A6">
        <w:rPr>
          <w:rFonts w:ascii="Arial" w:hAnsi="Arial" w:cs="Arial"/>
          <w:lang w:val="en-US"/>
        </w:rPr>
        <w:t>data set is</w:t>
      </w:r>
      <w:r w:rsidR="00002C2A">
        <w:rPr>
          <w:rFonts w:ascii="Arial" w:hAnsi="Arial" w:cs="Arial"/>
          <w:lang w:val="en-US"/>
        </w:rPr>
        <w:t xml:space="preserve"> representative of the entire population</w:t>
      </w:r>
      <w:r w:rsidR="006921B9">
        <w:rPr>
          <w:rFonts w:ascii="Arial" w:hAnsi="Arial" w:cs="Arial"/>
          <w:lang w:val="en-US"/>
        </w:rPr>
        <w:t>.</w:t>
      </w:r>
      <w:r w:rsidR="00002C2A">
        <w:rPr>
          <w:rFonts w:ascii="Arial" w:hAnsi="Arial" w:cs="Arial"/>
          <w:lang w:val="en-US"/>
        </w:rPr>
        <w:t xml:space="preserve"> With a representative sample of sufficient size, </w:t>
      </w:r>
      <w:r w:rsidR="006828A6">
        <w:rPr>
          <w:rFonts w:ascii="Arial" w:hAnsi="Arial" w:cs="Arial"/>
          <w:lang w:val="en-US"/>
        </w:rPr>
        <w:t xml:space="preserve">decisive </w:t>
      </w:r>
      <w:r w:rsidR="00002C2A">
        <w:rPr>
          <w:rFonts w:ascii="Arial" w:hAnsi="Arial" w:cs="Arial"/>
          <w:lang w:val="en-US"/>
        </w:rPr>
        <w:t xml:space="preserve">statements could be made with respect to the population of FHG and FHO physicians. </w:t>
      </w:r>
      <w:r w:rsidR="00B504E7">
        <w:rPr>
          <w:rFonts w:ascii="Arial" w:hAnsi="Arial" w:cs="Arial"/>
          <w:lang w:val="en-US"/>
        </w:rPr>
        <w:t xml:space="preserve"> </w:t>
      </w:r>
      <w:r w:rsidR="0063738A">
        <w:rPr>
          <w:rFonts w:ascii="Arial" w:hAnsi="Arial" w:cs="Arial"/>
          <w:lang w:val="en-US"/>
        </w:rPr>
        <w:t xml:space="preserve"> </w:t>
      </w:r>
    </w:p>
    <w:p w14:paraId="5A42B05A" w14:textId="77777777" w:rsidR="002915A0" w:rsidRDefault="002915A0" w:rsidP="002320C4">
      <w:pPr>
        <w:jc w:val="both"/>
        <w:rPr>
          <w:rFonts w:ascii="Arial" w:hAnsi="Arial" w:cs="Arial"/>
          <w:lang w:val="en-US"/>
        </w:rPr>
      </w:pPr>
    </w:p>
    <w:p w14:paraId="6A9C0B39" w14:textId="77777777" w:rsidR="009365C1" w:rsidRDefault="009365C1" w:rsidP="002320C4">
      <w:pPr>
        <w:jc w:val="both"/>
        <w:rPr>
          <w:rFonts w:ascii="Arial" w:hAnsi="Arial" w:cs="Arial"/>
          <w:lang w:val="en-US"/>
        </w:rPr>
      </w:pPr>
    </w:p>
    <w:p w14:paraId="4B745D03" w14:textId="77777777" w:rsidR="00002C2A" w:rsidRDefault="00002C2A">
      <w:pPr>
        <w:rPr>
          <w:rFonts w:ascii="Arial" w:hAnsi="Arial" w:cs="Arial"/>
          <w:lang w:val="en-US"/>
        </w:rPr>
      </w:pPr>
      <w:r>
        <w:rPr>
          <w:rFonts w:ascii="Arial" w:hAnsi="Arial" w:cs="Arial"/>
          <w:lang w:val="en-US"/>
        </w:rPr>
        <w:lastRenderedPageBreak/>
        <w:t xml:space="preserve">A. </w:t>
      </w:r>
      <w:r w:rsidRPr="00002C2A">
        <w:rPr>
          <w:rFonts w:ascii="Arial" w:hAnsi="Arial" w:cs="Arial"/>
          <w:lang w:val="en-US"/>
        </w:rPr>
        <w:t>Virtual Care</w:t>
      </w:r>
    </w:p>
    <w:p w14:paraId="4A2120A5" w14:textId="77777777" w:rsidR="00002C2A" w:rsidRDefault="00002C2A">
      <w:pPr>
        <w:rPr>
          <w:rFonts w:ascii="Arial" w:hAnsi="Arial" w:cs="Arial"/>
          <w:lang w:val="en-US"/>
        </w:rPr>
      </w:pPr>
      <w:r>
        <w:rPr>
          <w:rFonts w:ascii="Arial" w:hAnsi="Arial" w:cs="Arial"/>
          <w:lang w:val="en-US"/>
        </w:rPr>
        <w:t>A.1 Communication</w:t>
      </w:r>
    </w:p>
    <w:p w14:paraId="73EE2AA3" w14:textId="77777777" w:rsidR="00002C2A" w:rsidRDefault="00002C2A" w:rsidP="00002C2A">
      <w:pPr>
        <w:pStyle w:val="ListParagraph"/>
        <w:numPr>
          <w:ilvl w:val="0"/>
          <w:numId w:val="4"/>
        </w:numPr>
        <w:rPr>
          <w:rFonts w:ascii="Arial" w:hAnsi="Arial" w:cs="Arial"/>
          <w:lang w:val="en-US"/>
        </w:rPr>
      </w:pPr>
      <w:r>
        <w:rPr>
          <w:rFonts w:ascii="Arial" w:hAnsi="Arial" w:cs="Arial"/>
          <w:lang w:val="en-US"/>
        </w:rPr>
        <w:t>609 individual e-mails per year (12 per week) and 3,063 batch emails per year</w:t>
      </w:r>
    </w:p>
    <w:p w14:paraId="12E6A11C" w14:textId="77777777" w:rsidR="00002C2A" w:rsidRPr="00002C2A" w:rsidRDefault="00002C2A" w:rsidP="00002C2A">
      <w:pPr>
        <w:pStyle w:val="ListParagraph"/>
        <w:numPr>
          <w:ilvl w:val="0"/>
          <w:numId w:val="4"/>
        </w:numPr>
        <w:rPr>
          <w:rFonts w:ascii="Arial" w:hAnsi="Arial" w:cs="Arial"/>
          <w:lang w:val="en-US"/>
        </w:rPr>
      </w:pPr>
      <w:r>
        <w:rPr>
          <w:rFonts w:ascii="Arial" w:hAnsi="Arial" w:cs="Arial"/>
          <w:lang w:val="en-US"/>
        </w:rPr>
        <w:t>Over 11,500 patients messages per year (over 960 per month and over 30 per day)</w:t>
      </w:r>
    </w:p>
    <w:p w14:paraId="34BF663F" w14:textId="77777777" w:rsidR="00002C2A" w:rsidRDefault="00002C2A">
      <w:pPr>
        <w:rPr>
          <w:rFonts w:ascii="Arial" w:hAnsi="Arial" w:cs="Arial"/>
          <w:lang w:val="en-US"/>
        </w:rPr>
      </w:pPr>
      <w:r>
        <w:rPr>
          <w:rFonts w:ascii="Arial" w:hAnsi="Arial" w:cs="Arial"/>
          <w:lang w:val="en-US"/>
        </w:rPr>
        <w:t>A.2 EMR Activities</w:t>
      </w:r>
    </w:p>
    <w:p w14:paraId="2DC245C5" w14:textId="77777777" w:rsidR="00002C2A" w:rsidRDefault="00002C2A" w:rsidP="00002C2A">
      <w:pPr>
        <w:pStyle w:val="ListParagraph"/>
        <w:numPr>
          <w:ilvl w:val="0"/>
          <w:numId w:val="5"/>
        </w:numPr>
        <w:rPr>
          <w:rFonts w:ascii="Arial" w:hAnsi="Arial" w:cs="Arial"/>
          <w:lang w:val="en-US"/>
        </w:rPr>
      </w:pPr>
      <w:r>
        <w:rPr>
          <w:rFonts w:ascii="Arial" w:hAnsi="Arial" w:cs="Arial"/>
          <w:lang w:val="en-US"/>
        </w:rPr>
        <w:t>4,630 prescriptions per year faxed or printed</w:t>
      </w:r>
    </w:p>
    <w:p w14:paraId="10FB69F7" w14:textId="77777777" w:rsidR="00002C2A" w:rsidRDefault="00002C2A" w:rsidP="00002C2A">
      <w:pPr>
        <w:pStyle w:val="ListParagraph"/>
        <w:numPr>
          <w:ilvl w:val="0"/>
          <w:numId w:val="5"/>
        </w:numPr>
        <w:rPr>
          <w:rFonts w:ascii="Arial" w:hAnsi="Arial" w:cs="Arial"/>
          <w:lang w:val="en-US"/>
        </w:rPr>
      </w:pPr>
      <w:r>
        <w:rPr>
          <w:rFonts w:ascii="Arial" w:hAnsi="Arial" w:cs="Arial"/>
          <w:lang w:val="en-US"/>
        </w:rPr>
        <w:t>4,609 patient records per year emailed, printed or faxed</w:t>
      </w:r>
    </w:p>
    <w:p w14:paraId="181CE294" w14:textId="7872B337" w:rsidR="00002C2A" w:rsidRDefault="00002C2A" w:rsidP="00002C2A">
      <w:pPr>
        <w:pStyle w:val="ListParagraph"/>
        <w:numPr>
          <w:ilvl w:val="0"/>
          <w:numId w:val="5"/>
        </w:numPr>
        <w:rPr>
          <w:rFonts w:ascii="Arial" w:hAnsi="Arial" w:cs="Arial"/>
          <w:lang w:val="en-US"/>
        </w:rPr>
      </w:pPr>
      <w:r>
        <w:rPr>
          <w:rFonts w:ascii="Arial" w:hAnsi="Arial" w:cs="Arial"/>
          <w:lang w:val="en-US"/>
        </w:rPr>
        <w:t>442 searches run per year</w:t>
      </w:r>
      <w:r w:rsidR="002B24C7">
        <w:rPr>
          <w:rStyle w:val="FootnoteReference"/>
          <w:rFonts w:ascii="Arial" w:hAnsi="Arial" w:cs="Arial"/>
          <w:lang w:val="en-US"/>
        </w:rPr>
        <w:footnoteReference w:id="1"/>
      </w:r>
      <w:r w:rsidR="008649D3">
        <w:rPr>
          <w:rFonts w:ascii="Arial" w:hAnsi="Arial" w:cs="Arial"/>
          <w:lang w:val="en-US"/>
        </w:rPr>
        <w:t xml:space="preserve"> </w:t>
      </w:r>
    </w:p>
    <w:p w14:paraId="272D03EF" w14:textId="77777777" w:rsidR="00002C2A" w:rsidRPr="00002C2A" w:rsidRDefault="00002C2A" w:rsidP="00002C2A">
      <w:pPr>
        <w:pStyle w:val="ListParagraph"/>
        <w:numPr>
          <w:ilvl w:val="0"/>
          <w:numId w:val="5"/>
        </w:numPr>
        <w:rPr>
          <w:rFonts w:ascii="Arial" w:hAnsi="Arial" w:cs="Arial"/>
          <w:lang w:val="en-US"/>
        </w:rPr>
      </w:pPr>
      <w:r>
        <w:rPr>
          <w:rFonts w:ascii="Arial" w:hAnsi="Arial" w:cs="Arial"/>
          <w:lang w:val="en-US"/>
        </w:rPr>
        <w:t>265 reports printed per year</w:t>
      </w:r>
    </w:p>
    <w:p w14:paraId="04FCBC33" w14:textId="63524D6C" w:rsidR="00002C2A" w:rsidRDefault="00002C2A">
      <w:pPr>
        <w:rPr>
          <w:rFonts w:ascii="Arial" w:hAnsi="Arial" w:cs="Arial"/>
          <w:lang w:val="en-US"/>
        </w:rPr>
      </w:pPr>
      <w:r>
        <w:rPr>
          <w:rFonts w:ascii="Arial" w:hAnsi="Arial" w:cs="Arial"/>
          <w:lang w:val="en-US"/>
        </w:rPr>
        <w:t>A.3 Patient Activities</w:t>
      </w:r>
      <w:r w:rsidR="008649D3">
        <w:rPr>
          <w:rFonts w:ascii="Arial" w:hAnsi="Arial" w:cs="Arial"/>
          <w:lang w:val="en-US"/>
        </w:rPr>
        <w:t xml:space="preserve"> </w:t>
      </w:r>
    </w:p>
    <w:p w14:paraId="6ECC91DE" w14:textId="742A8CC9" w:rsidR="00002C2A" w:rsidRDefault="008649D3" w:rsidP="008649D3">
      <w:pPr>
        <w:pStyle w:val="ListParagraph"/>
        <w:numPr>
          <w:ilvl w:val="0"/>
          <w:numId w:val="7"/>
        </w:numPr>
        <w:rPr>
          <w:rFonts w:ascii="Arial" w:hAnsi="Arial" w:cs="Arial"/>
          <w:lang w:val="en-US"/>
        </w:rPr>
      </w:pPr>
      <w:r>
        <w:rPr>
          <w:rFonts w:ascii="Arial" w:hAnsi="Arial" w:cs="Arial"/>
          <w:lang w:val="en-US"/>
        </w:rPr>
        <w:t>61,683 patient viewings</w:t>
      </w:r>
      <w:r w:rsidR="00512A23">
        <w:rPr>
          <w:rFonts w:ascii="Arial" w:hAnsi="Arial" w:cs="Arial"/>
          <w:lang w:val="en-US"/>
        </w:rPr>
        <w:t xml:space="preserve"> </w:t>
      </w:r>
      <w:r w:rsidR="00FB2703">
        <w:rPr>
          <w:rFonts w:ascii="Arial" w:hAnsi="Arial" w:cs="Arial"/>
          <w:lang w:val="en-US"/>
        </w:rPr>
        <w:t>–</w:t>
      </w:r>
      <w:r w:rsidR="00512A23">
        <w:rPr>
          <w:rFonts w:ascii="Arial" w:hAnsi="Arial" w:cs="Arial"/>
          <w:lang w:val="en-US"/>
        </w:rPr>
        <w:t xml:space="preserve"> </w:t>
      </w:r>
      <w:r w:rsidR="00FB2703">
        <w:rPr>
          <w:rFonts w:ascii="Arial" w:hAnsi="Arial" w:cs="Arial"/>
          <w:lang w:val="en-US"/>
        </w:rPr>
        <w:t xml:space="preserve">this is includes opening a patient chart for any reason. As demonstrated </w:t>
      </w:r>
      <w:hyperlink r:id="rId8" w:history="1">
        <w:r w:rsidR="00FB2703" w:rsidRPr="00FB2703">
          <w:rPr>
            <w:rStyle w:val="Hyperlink"/>
            <w:rFonts w:ascii="Arial" w:hAnsi="Arial" w:cs="Arial"/>
            <w:lang w:val="en-US"/>
          </w:rPr>
          <w:t>here on (pages 17-18)</w:t>
        </w:r>
      </w:hyperlink>
      <w:r w:rsidR="00FB2703">
        <w:rPr>
          <w:rFonts w:ascii="Arial" w:hAnsi="Arial" w:cs="Arial"/>
          <w:lang w:val="en-US"/>
        </w:rPr>
        <w:t>, this is a potentially simple yet accurate surrogate marker that represents true clinical work.</w:t>
      </w:r>
    </w:p>
    <w:p w14:paraId="3904EB55" w14:textId="6888F4CE" w:rsidR="008649D3" w:rsidRDefault="008649D3" w:rsidP="008649D3">
      <w:pPr>
        <w:pStyle w:val="ListParagraph"/>
        <w:numPr>
          <w:ilvl w:val="0"/>
          <w:numId w:val="7"/>
        </w:numPr>
        <w:rPr>
          <w:rFonts w:ascii="Arial" w:hAnsi="Arial" w:cs="Arial"/>
          <w:lang w:val="en-US"/>
        </w:rPr>
      </w:pPr>
      <w:r>
        <w:rPr>
          <w:rFonts w:ascii="Arial" w:hAnsi="Arial" w:cs="Arial"/>
          <w:lang w:val="en-US"/>
        </w:rPr>
        <w:t>37,125 progress note</w:t>
      </w:r>
      <w:r w:rsidR="00FB2703">
        <w:rPr>
          <w:rFonts w:ascii="Arial" w:hAnsi="Arial" w:cs="Arial"/>
          <w:lang w:val="en-US"/>
        </w:rPr>
        <w:t xml:space="preserve"> – any time the clinician enters a note in the chart. Again, this would be a reliable representative marker for clinical work.</w:t>
      </w:r>
    </w:p>
    <w:p w14:paraId="0CC4F51F" w14:textId="299959CB" w:rsidR="008649D3" w:rsidRDefault="008649D3" w:rsidP="008649D3">
      <w:pPr>
        <w:pStyle w:val="ListParagraph"/>
        <w:numPr>
          <w:ilvl w:val="0"/>
          <w:numId w:val="7"/>
        </w:numPr>
        <w:rPr>
          <w:rFonts w:ascii="Arial" w:hAnsi="Arial" w:cs="Arial"/>
          <w:lang w:val="en-US"/>
        </w:rPr>
      </w:pPr>
      <w:r>
        <w:rPr>
          <w:rFonts w:ascii="Arial" w:hAnsi="Arial" w:cs="Arial"/>
          <w:lang w:val="en-US"/>
        </w:rPr>
        <w:t>21,296 custom forms</w:t>
      </w:r>
      <w:r w:rsidR="00FB2703">
        <w:rPr>
          <w:rFonts w:ascii="Arial" w:hAnsi="Arial" w:cs="Arial"/>
          <w:lang w:val="en-US"/>
        </w:rPr>
        <w:t xml:space="preserve"> – these have a variety of implications. “Custom Forms” are a type of tool in TELUS EMR charts that functions like a “fillable PDF” in many ways. For instance, inputting and completing lab or imaging requisitions would fall under this category. Diabetic flowsheets or pediatric Rourke forms are </w:t>
      </w:r>
      <w:r w:rsidR="00462C89">
        <w:rPr>
          <w:rFonts w:ascii="Arial" w:hAnsi="Arial" w:cs="Arial"/>
          <w:lang w:val="en-US"/>
        </w:rPr>
        <w:t>other</w:t>
      </w:r>
      <w:r w:rsidR="00FB2703">
        <w:rPr>
          <w:rFonts w:ascii="Arial" w:hAnsi="Arial" w:cs="Arial"/>
          <w:lang w:val="en-US"/>
        </w:rPr>
        <w:t xml:space="preserve"> common examples. </w:t>
      </w:r>
    </w:p>
    <w:p w14:paraId="7AFC668C" w14:textId="7CC786F5" w:rsidR="008649D3" w:rsidRDefault="008649D3" w:rsidP="008649D3">
      <w:pPr>
        <w:pStyle w:val="ListParagraph"/>
        <w:numPr>
          <w:ilvl w:val="0"/>
          <w:numId w:val="7"/>
        </w:numPr>
        <w:rPr>
          <w:rFonts w:ascii="Arial" w:hAnsi="Arial" w:cs="Arial"/>
          <w:lang w:val="en-US"/>
        </w:rPr>
      </w:pPr>
      <w:r>
        <w:rPr>
          <w:rFonts w:ascii="Arial" w:hAnsi="Arial" w:cs="Arial"/>
          <w:lang w:val="en-US"/>
        </w:rPr>
        <w:t>16,577 labs</w:t>
      </w:r>
      <w:r w:rsidR="00FB2703">
        <w:rPr>
          <w:rFonts w:ascii="Arial" w:hAnsi="Arial" w:cs="Arial"/>
          <w:lang w:val="en-US"/>
        </w:rPr>
        <w:t xml:space="preserve"> – this includes any time a new lab report comes in and acknowledging the results (It does not include any work that may follow from dealing with those results).</w:t>
      </w:r>
    </w:p>
    <w:p w14:paraId="3FF70338" w14:textId="6E983952" w:rsidR="008649D3" w:rsidRDefault="008649D3" w:rsidP="008649D3">
      <w:pPr>
        <w:pStyle w:val="ListParagraph"/>
        <w:numPr>
          <w:ilvl w:val="0"/>
          <w:numId w:val="7"/>
        </w:numPr>
        <w:rPr>
          <w:rFonts w:ascii="Arial" w:hAnsi="Arial" w:cs="Arial"/>
          <w:lang w:val="en-US"/>
        </w:rPr>
      </w:pPr>
      <w:r>
        <w:rPr>
          <w:rFonts w:ascii="Arial" w:hAnsi="Arial" w:cs="Arial"/>
          <w:lang w:val="en-US"/>
        </w:rPr>
        <w:t>11,620 letters sent</w:t>
      </w:r>
      <w:r w:rsidR="00090383">
        <w:rPr>
          <w:rFonts w:ascii="Arial" w:hAnsi="Arial" w:cs="Arial"/>
          <w:lang w:val="en-US"/>
        </w:rPr>
        <w:t xml:space="preserve"> – These would typically be referral letters to consultants, letters to patients, letters pharmacies. The types and uses of letters sent to patients varies greatly. </w:t>
      </w:r>
    </w:p>
    <w:p w14:paraId="024346A7" w14:textId="162ED39B" w:rsidR="008649D3" w:rsidRDefault="008649D3" w:rsidP="008649D3">
      <w:pPr>
        <w:pStyle w:val="ListParagraph"/>
        <w:numPr>
          <w:ilvl w:val="0"/>
          <w:numId w:val="7"/>
        </w:numPr>
        <w:rPr>
          <w:rFonts w:ascii="Arial" w:hAnsi="Arial" w:cs="Arial"/>
          <w:lang w:val="en-US"/>
        </w:rPr>
      </w:pPr>
      <w:r>
        <w:rPr>
          <w:rFonts w:ascii="Arial" w:hAnsi="Arial" w:cs="Arial"/>
          <w:lang w:val="en-US"/>
        </w:rPr>
        <w:t>5,564 medical reports</w:t>
      </w:r>
      <w:r w:rsidR="00090383">
        <w:rPr>
          <w:rFonts w:ascii="Arial" w:hAnsi="Arial" w:cs="Arial"/>
          <w:lang w:val="en-US"/>
        </w:rPr>
        <w:t xml:space="preserve"> – this includes reviewing and signing off an any reports that come into a patient’s chart, most often a consultant’s letter or a diagnostic report.</w:t>
      </w:r>
    </w:p>
    <w:p w14:paraId="69FA16D5" w14:textId="77777777" w:rsidR="008649D3" w:rsidRPr="008649D3" w:rsidRDefault="008649D3" w:rsidP="008649D3">
      <w:pPr>
        <w:pStyle w:val="ListParagraph"/>
        <w:numPr>
          <w:ilvl w:val="0"/>
          <w:numId w:val="7"/>
        </w:numPr>
        <w:rPr>
          <w:rFonts w:ascii="Arial" w:hAnsi="Arial" w:cs="Arial"/>
          <w:lang w:val="en-US"/>
        </w:rPr>
      </w:pPr>
      <w:r>
        <w:rPr>
          <w:rFonts w:ascii="Arial" w:hAnsi="Arial" w:cs="Arial"/>
          <w:lang w:val="en-US"/>
        </w:rPr>
        <w:t>Over 10,000 other activities (e.g. pending tests, past health, problem list, etc.)</w:t>
      </w:r>
    </w:p>
    <w:p w14:paraId="3A4AE2FE" w14:textId="77777777" w:rsidR="008649D3" w:rsidRDefault="008649D3">
      <w:pPr>
        <w:rPr>
          <w:rFonts w:ascii="Arial" w:hAnsi="Arial" w:cs="Arial"/>
          <w:lang w:val="en-US"/>
        </w:rPr>
      </w:pPr>
    </w:p>
    <w:p w14:paraId="65F2ED2F" w14:textId="77777777" w:rsidR="008649D3" w:rsidRDefault="00002C2A">
      <w:pPr>
        <w:rPr>
          <w:rFonts w:ascii="Arial" w:hAnsi="Arial" w:cs="Arial"/>
          <w:lang w:val="en-US"/>
        </w:rPr>
      </w:pPr>
      <w:r>
        <w:rPr>
          <w:rFonts w:ascii="Arial" w:hAnsi="Arial" w:cs="Arial"/>
          <w:lang w:val="en-US"/>
        </w:rPr>
        <w:t>B. WORKLOAD INDICATORS</w:t>
      </w:r>
    </w:p>
    <w:p w14:paraId="338205C8" w14:textId="77777777" w:rsidR="008649D3" w:rsidRDefault="008649D3" w:rsidP="00FA02FD">
      <w:pPr>
        <w:jc w:val="both"/>
        <w:rPr>
          <w:rFonts w:ascii="Arial" w:hAnsi="Arial" w:cs="Arial"/>
          <w:lang w:val="en-US"/>
        </w:rPr>
      </w:pPr>
      <w:r>
        <w:rPr>
          <w:rFonts w:ascii="Arial" w:hAnsi="Arial" w:cs="Arial"/>
          <w:lang w:val="en-US"/>
        </w:rPr>
        <w:lastRenderedPageBreak/>
        <w:t xml:space="preserve">A main challenge with measuring workload based on the EMR data is that an activity recorded in the EMR may not correspond to an actual face-to-face visit.  This is essentially a debate about what constitutes a day worked.  </w:t>
      </w:r>
      <w:r w:rsidR="00FA02FD">
        <w:rPr>
          <w:rFonts w:ascii="Arial" w:hAnsi="Arial" w:cs="Arial"/>
          <w:lang w:val="en-US"/>
        </w:rPr>
        <w:t xml:space="preserve">The SGFP has argued previously that a good measure of a workload activity is a patient viewing, and that further, this indicator can be further differentiated by the number of viewing per day (e.g. a day worked is a day with at least 1, or at least 5, or at least 10 patient viewings).  The summary below builds on this definition of a day worked. </w:t>
      </w:r>
    </w:p>
    <w:p w14:paraId="1E249E1A" w14:textId="77777777" w:rsidR="00FA02FD" w:rsidRDefault="00FA02FD" w:rsidP="00FA02FD">
      <w:pPr>
        <w:pStyle w:val="ListParagraph"/>
        <w:numPr>
          <w:ilvl w:val="0"/>
          <w:numId w:val="8"/>
        </w:numPr>
        <w:rPr>
          <w:rFonts w:ascii="Arial" w:hAnsi="Arial" w:cs="Arial"/>
          <w:lang w:val="en-US"/>
        </w:rPr>
      </w:pPr>
      <w:r>
        <w:rPr>
          <w:rFonts w:ascii="Arial" w:hAnsi="Arial" w:cs="Arial"/>
          <w:lang w:val="en-US"/>
        </w:rPr>
        <w:t>273 to 310 annual days of work</w:t>
      </w:r>
    </w:p>
    <w:p w14:paraId="7DD21A1E" w14:textId="77777777" w:rsidR="00FA02FD" w:rsidRPr="00FA02FD" w:rsidRDefault="00FA02FD" w:rsidP="00FA02FD">
      <w:pPr>
        <w:pStyle w:val="ListParagraph"/>
        <w:numPr>
          <w:ilvl w:val="1"/>
          <w:numId w:val="8"/>
        </w:numPr>
        <w:rPr>
          <w:rFonts w:ascii="Arial" w:hAnsi="Arial" w:cs="Arial"/>
          <w:lang w:val="en-US"/>
        </w:rPr>
      </w:pPr>
      <w:r>
        <w:rPr>
          <w:rFonts w:ascii="Arial" w:hAnsi="Arial" w:cs="Arial"/>
          <w:lang w:val="en-US"/>
        </w:rPr>
        <w:t>307 days worked per year (1+ patient viewings per day)</w:t>
      </w:r>
    </w:p>
    <w:p w14:paraId="0040E677" w14:textId="77777777" w:rsidR="00FA02FD" w:rsidRPr="00FA02FD" w:rsidRDefault="00FA02FD" w:rsidP="00FA02FD">
      <w:pPr>
        <w:pStyle w:val="ListParagraph"/>
        <w:numPr>
          <w:ilvl w:val="1"/>
          <w:numId w:val="8"/>
        </w:numPr>
        <w:rPr>
          <w:rFonts w:ascii="Arial" w:hAnsi="Arial" w:cs="Arial"/>
          <w:lang w:val="en-US"/>
        </w:rPr>
      </w:pPr>
      <w:r>
        <w:rPr>
          <w:rFonts w:ascii="Arial" w:hAnsi="Arial" w:cs="Arial"/>
          <w:lang w:val="en-US"/>
        </w:rPr>
        <w:t>287 days worked per year (5+ patient viewings per day)</w:t>
      </w:r>
    </w:p>
    <w:p w14:paraId="54D6168E" w14:textId="77777777" w:rsidR="00FA02FD" w:rsidRDefault="00FA02FD" w:rsidP="00FA02FD">
      <w:pPr>
        <w:pStyle w:val="ListParagraph"/>
        <w:numPr>
          <w:ilvl w:val="1"/>
          <w:numId w:val="8"/>
        </w:numPr>
        <w:rPr>
          <w:rFonts w:ascii="Arial" w:hAnsi="Arial" w:cs="Arial"/>
          <w:lang w:val="en-US"/>
        </w:rPr>
      </w:pPr>
      <w:r>
        <w:rPr>
          <w:rFonts w:ascii="Arial" w:hAnsi="Arial" w:cs="Arial"/>
          <w:lang w:val="en-US"/>
        </w:rPr>
        <w:t>273 days worked per year (10+ patient viewings per day)</w:t>
      </w:r>
    </w:p>
    <w:p w14:paraId="342C2FB0" w14:textId="77777777" w:rsidR="00FA02FD" w:rsidRPr="00FA02FD" w:rsidRDefault="00FA02FD" w:rsidP="00FA02FD">
      <w:pPr>
        <w:pStyle w:val="ListParagraph"/>
        <w:numPr>
          <w:ilvl w:val="0"/>
          <w:numId w:val="8"/>
        </w:numPr>
        <w:rPr>
          <w:rFonts w:ascii="Arial" w:hAnsi="Arial" w:cs="Arial"/>
          <w:lang w:val="en-US"/>
        </w:rPr>
      </w:pPr>
      <w:r>
        <w:rPr>
          <w:rFonts w:ascii="Arial" w:hAnsi="Arial" w:cs="Arial"/>
          <w:lang w:val="en-US"/>
        </w:rPr>
        <w:t>5.3 to 5.9 days worked per week</w:t>
      </w:r>
    </w:p>
    <w:p w14:paraId="1E2E3C98" w14:textId="77777777" w:rsidR="00FA02FD" w:rsidRPr="00FA02FD" w:rsidRDefault="00FA02FD" w:rsidP="00FA02FD">
      <w:pPr>
        <w:pStyle w:val="ListParagraph"/>
        <w:numPr>
          <w:ilvl w:val="1"/>
          <w:numId w:val="8"/>
        </w:numPr>
        <w:rPr>
          <w:rFonts w:ascii="Arial" w:hAnsi="Arial" w:cs="Arial"/>
          <w:lang w:val="en-US"/>
        </w:rPr>
      </w:pPr>
      <w:r>
        <w:rPr>
          <w:rFonts w:ascii="Arial" w:hAnsi="Arial" w:cs="Arial"/>
          <w:lang w:val="en-US"/>
        </w:rPr>
        <w:t>5.9 days worked per week (1+ patient viewings per day)</w:t>
      </w:r>
    </w:p>
    <w:p w14:paraId="6ED75BE6" w14:textId="77777777" w:rsidR="00FA02FD" w:rsidRPr="00FA02FD" w:rsidRDefault="00FA02FD" w:rsidP="00FA02FD">
      <w:pPr>
        <w:pStyle w:val="ListParagraph"/>
        <w:numPr>
          <w:ilvl w:val="1"/>
          <w:numId w:val="8"/>
        </w:numPr>
        <w:rPr>
          <w:rFonts w:ascii="Arial" w:hAnsi="Arial" w:cs="Arial"/>
          <w:lang w:val="en-US"/>
        </w:rPr>
      </w:pPr>
      <w:r>
        <w:rPr>
          <w:rFonts w:ascii="Arial" w:hAnsi="Arial" w:cs="Arial"/>
          <w:lang w:val="en-US"/>
        </w:rPr>
        <w:t>5.5 days worked per week (5+ patient viewings per day)</w:t>
      </w:r>
    </w:p>
    <w:p w14:paraId="56ED67BC" w14:textId="77777777" w:rsidR="00FA02FD" w:rsidRDefault="00FA02FD" w:rsidP="00FA02FD">
      <w:pPr>
        <w:pStyle w:val="ListParagraph"/>
        <w:numPr>
          <w:ilvl w:val="1"/>
          <w:numId w:val="8"/>
        </w:numPr>
        <w:rPr>
          <w:rFonts w:ascii="Arial" w:hAnsi="Arial" w:cs="Arial"/>
          <w:lang w:val="en-US"/>
        </w:rPr>
      </w:pPr>
      <w:r>
        <w:rPr>
          <w:rFonts w:ascii="Arial" w:hAnsi="Arial" w:cs="Arial"/>
          <w:lang w:val="en-US"/>
        </w:rPr>
        <w:t>5.3 days worked per week (10+ patient viewings per day)</w:t>
      </w:r>
    </w:p>
    <w:p w14:paraId="6CB187C3" w14:textId="77777777" w:rsidR="00FA02FD" w:rsidRPr="00FA02FD" w:rsidRDefault="00FA02FD" w:rsidP="00FA02FD">
      <w:pPr>
        <w:pStyle w:val="ListParagraph"/>
        <w:numPr>
          <w:ilvl w:val="0"/>
          <w:numId w:val="8"/>
        </w:numPr>
        <w:rPr>
          <w:rFonts w:ascii="Arial" w:hAnsi="Arial" w:cs="Arial"/>
          <w:lang w:val="en-US"/>
        </w:rPr>
      </w:pPr>
      <w:r>
        <w:rPr>
          <w:rFonts w:ascii="Arial" w:hAnsi="Arial" w:cs="Arial"/>
          <w:lang w:val="en-US"/>
        </w:rPr>
        <w:t>About 13% of work conducted after-hours (weekday 5PM to 7AM, weekends, and holidays)</w:t>
      </w:r>
    </w:p>
    <w:p w14:paraId="71B23654" w14:textId="77777777" w:rsidR="008649D3" w:rsidRDefault="008649D3">
      <w:pPr>
        <w:rPr>
          <w:rFonts w:ascii="Arial" w:hAnsi="Arial" w:cs="Arial"/>
          <w:lang w:val="en-US"/>
        </w:rPr>
      </w:pPr>
    </w:p>
    <w:p w14:paraId="7636D720" w14:textId="5F866FB4" w:rsidR="004F7582" w:rsidRPr="002915A0" w:rsidRDefault="004F7582" w:rsidP="004F7582">
      <w:pPr>
        <w:jc w:val="both"/>
        <w:rPr>
          <w:rFonts w:ascii="Arial" w:hAnsi="Arial" w:cs="Arial"/>
          <w:b/>
          <w:u w:val="single"/>
          <w:lang w:val="en-US"/>
        </w:rPr>
      </w:pPr>
      <w:r>
        <w:rPr>
          <w:rFonts w:ascii="Arial" w:hAnsi="Arial" w:cs="Arial"/>
          <w:b/>
          <w:u w:val="single"/>
          <w:lang w:val="en-US"/>
        </w:rPr>
        <w:t>Some</w:t>
      </w:r>
      <w:r w:rsidRPr="002915A0">
        <w:rPr>
          <w:rFonts w:ascii="Arial" w:hAnsi="Arial" w:cs="Arial"/>
          <w:b/>
          <w:u w:val="single"/>
          <w:lang w:val="en-US"/>
        </w:rPr>
        <w:t xml:space="preserve"> </w:t>
      </w:r>
      <w:r>
        <w:rPr>
          <w:rFonts w:ascii="Arial" w:hAnsi="Arial" w:cs="Arial"/>
          <w:b/>
          <w:u w:val="single"/>
          <w:lang w:val="en-US"/>
        </w:rPr>
        <w:t>Limitations</w:t>
      </w:r>
    </w:p>
    <w:p w14:paraId="71EEEE3F" w14:textId="092C60DE" w:rsidR="004F7582" w:rsidRDefault="001F1FB9" w:rsidP="002B24C7">
      <w:pPr>
        <w:jc w:val="both"/>
        <w:rPr>
          <w:rFonts w:ascii="Arial" w:hAnsi="Arial" w:cs="Arial"/>
          <w:lang w:val="en-US"/>
        </w:rPr>
      </w:pPr>
      <w:r>
        <w:rPr>
          <w:rFonts w:ascii="Arial" w:hAnsi="Arial" w:cs="Arial"/>
          <w:lang w:val="en-US"/>
        </w:rPr>
        <w:t>EMR data does not perfectly represent all the work the physicians do, but it illustrates the workload, the hours, and the times of work much better than is captured by OHIP billings alone.</w:t>
      </w:r>
    </w:p>
    <w:p w14:paraId="5E974FA9" w14:textId="00D217C0" w:rsidR="009770DD" w:rsidRDefault="001F1FB9" w:rsidP="002B24C7">
      <w:pPr>
        <w:jc w:val="both"/>
        <w:rPr>
          <w:rFonts w:ascii="Arial" w:hAnsi="Arial" w:cs="Arial"/>
          <w:lang w:val="en-US"/>
        </w:rPr>
      </w:pPr>
      <w:r>
        <w:rPr>
          <w:rFonts w:ascii="Arial" w:hAnsi="Arial" w:cs="Arial"/>
          <w:lang w:val="en-US"/>
        </w:rPr>
        <w:t>It is important to note that current EMR data is not structured in such a way to accurately track telephone calls to patients. For instance, most physicians would simply document a telephone conversation an any other “progress note” in the EMR.</w:t>
      </w:r>
      <w:r w:rsidR="00B65613">
        <w:rPr>
          <w:rFonts w:ascii="Arial" w:hAnsi="Arial" w:cs="Arial"/>
          <w:lang w:val="en-US"/>
        </w:rPr>
        <w:t xml:space="preserve"> That said, tracking progress notes still documents this type of non-billable work that would not otherwise be captured in OHIP billings.</w:t>
      </w:r>
    </w:p>
    <w:p w14:paraId="16E5BF40" w14:textId="7EA23B55" w:rsidR="009770DD" w:rsidRDefault="009770DD" w:rsidP="002B24C7">
      <w:pPr>
        <w:jc w:val="both"/>
        <w:rPr>
          <w:rFonts w:ascii="Arial" w:hAnsi="Arial" w:cs="Arial"/>
          <w:lang w:val="en-US"/>
        </w:rPr>
      </w:pPr>
      <w:r>
        <w:rPr>
          <w:rFonts w:ascii="Arial" w:hAnsi="Arial" w:cs="Arial"/>
          <w:lang w:val="en-US"/>
        </w:rPr>
        <w:t>It will need to be explored if TELUS can build a tool that may also be able to pull OHIP billing data and/or appointment data (free of Personal Health Information). This type of data would be ideal.</w:t>
      </w:r>
    </w:p>
    <w:p w14:paraId="043B4C68" w14:textId="77777777" w:rsidR="004F7582" w:rsidRPr="00002C2A" w:rsidRDefault="004F7582">
      <w:pPr>
        <w:rPr>
          <w:rFonts w:ascii="Arial" w:hAnsi="Arial" w:cs="Arial"/>
          <w:lang w:val="en-US"/>
        </w:rPr>
      </w:pPr>
    </w:p>
    <w:p w14:paraId="5CDB2355" w14:textId="77777777" w:rsidR="0063738A" w:rsidRPr="002915A0" w:rsidRDefault="002915A0" w:rsidP="002320C4">
      <w:pPr>
        <w:jc w:val="both"/>
        <w:rPr>
          <w:rFonts w:ascii="Arial" w:hAnsi="Arial" w:cs="Arial"/>
          <w:b/>
          <w:u w:val="single"/>
          <w:lang w:val="en-US"/>
        </w:rPr>
      </w:pPr>
      <w:r w:rsidRPr="002915A0">
        <w:rPr>
          <w:rFonts w:ascii="Arial" w:hAnsi="Arial" w:cs="Arial"/>
          <w:b/>
          <w:u w:val="single"/>
          <w:lang w:val="en-US"/>
        </w:rPr>
        <w:t>Cost Implications</w:t>
      </w:r>
    </w:p>
    <w:p w14:paraId="1AC0D935" w14:textId="223A68D4" w:rsidR="00EB1938" w:rsidRDefault="00EB1938" w:rsidP="002320C4">
      <w:pPr>
        <w:jc w:val="both"/>
        <w:rPr>
          <w:rFonts w:ascii="Arial" w:hAnsi="Arial" w:cs="Arial"/>
          <w:lang w:val="en-US"/>
        </w:rPr>
      </w:pPr>
      <w:r>
        <w:rPr>
          <w:rFonts w:ascii="Arial" w:hAnsi="Arial" w:cs="Arial"/>
          <w:lang w:val="en-US"/>
        </w:rPr>
        <w:t xml:space="preserve">Estimating the cost of obtaining a data extract for a representative sample of FHG and FHO physicians depends on three factors: (1) the cost of data extract per physician, (2) the number of physicians in the sample, and (3) the number of years included.  Clearly, increasing the number of physicians increases cost but also statistical reliability, hence the importance of knowing the minimum required sample size to be able to draw valid inferences.  Given the population size, the confidence level of 95% and the margin of error of 5%, the absolutely minimum sample size is about 700 physicians. In addition, increasing the number of years increases cost but again improves inference and allows for trend comparison.  The most critical part, the cost per physician of data extraction, is at this time the factor with most uncertainty because formal negotiation of the contract is hindered by not knowing a specific budget. As a very preliminary and informal </w:t>
      </w:r>
      <w:r>
        <w:rPr>
          <w:rFonts w:ascii="Arial" w:hAnsi="Arial" w:cs="Arial"/>
          <w:lang w:val="en-US"/>
        </w:rPr>
        <w:lastRenderedPageBreak/>
        <w:t xml:space="preserve">estimate, the cost per MD per month is about $25.  Clearly, the SGFP is  </w:t>
      </w:r>
      <w:r>
        <w:rPr>
          <w:rFonts w:ascii="Arial" w:hAnsi="Arial" w:cs="Arial"/>
          <w:lang w:val="en-US"/>
        </w:rPr>
        <w:t>hopeful to engage the OMA internal expertise to negotiate the best deal possible.</w:t>
      </w:r>
      <w:r>
        <w:rPr>
          <w:rFonts w:ascii="Arial" w:hAnsi="Arial" w:cs="Arial"/>
          <w:lang w:val="en-US"/>
        </w:rPr>
        <w:t xml:space="preserve">  Based on these consideration, the SGFP has developed the following four options for Board’s consideration:</w:t>
      </w:r>
    </w:p>
    <w:p w14:paraId="35D45A91" w14:textId="2EA34671" w:rsidR="00EB1938" w:rsidRDefault="00EB1938" w:rsidP="002320C4">
      <w:pPr>
        <w:jc w:val="both"/>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1257"/>
        <w:gridCol w:w="1790"/>
        <w:gridCol w:w="1377"/>
        <w:gridCol w:w="1386"/>
        <w:gridCol w:w="1520"/>
        <w:gridCol w:w="2010"/>
      </w:tblGrid>
      <w:tr w:rsidR="00EB1938" w14:paraId="251E4AC5" w14:textId="77777777" w:rsidTr="00EB1938">
        <w:tc>
          <w:tcPr>
            <w:tcW w:w="1257" w:type="dxa"/>
            <w:tcBorders>
              <w:top w:val="single" w:sz="8" w:space="0" w:color="auto"/>
              <w:left w:val="single" w:sz="8" w:space="0" w:color="auto"/>
              <w:bottom w:val="single" w:sz="8" w:space="0" w:color="auto"/>
              <w:right w:val="single" w:sz="8" w:space="0" w:color="auto"/>
            </w:tcBorders>
          </w:tcPr>
          <w:p w14:paraId="30820238" w14:textId="368E2757" w:rsidR="00EB1938" w:rsidRDefault="00EB1938" w:rsidP="00EB1938">
            <w:pPr>
              <w:spacing w:after="0" w:line="240" w:lineRule="auto"/>
              <w:jc w:val="center"/>
              <w:rPr>
                <w:rFonts w:ascii="Arial" w:hAnsi="Arial" w:cs="Arial"/>
                <w:sz w:val="20"/>
                <w:szCs w:val="20"/>
              </w:rPr>
            </w:pPr>
            <w:r>
              <w:rPr>
                <w:rFonts w:ascii="Arial" w:hAnsi="Arial" w:cs="Arial"/>
                <w:sz w:val="20"/>
                <w:szCs w:val="20"/>
              </w:rPr>
              <w:t>Option</w:t>
            </w:r>
          </w:p>
        </w:tc>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B7B99" w14:textId="7E3ACAC6" w:rsidR="00EB1938" w:rsidRDefault="00EB1938" w:rsidP="00EB1938">
            <w:pPr>
              <w:spacing w:after="0" w:line="240" w:lineRule="auto"/>
              <w:rPr>
                <w:rFonts w:ascii="Arial" w:hAnsi="Arial" w:cs="Arial"/>
                <w:sz w:val="20"/>
                <w:szCs w:val="20"/>
              </w:rPr>
            </w:pPr>
            <w:r>
              <w:rPr>
                <w:rFonts w:ascii="Arial" w:hAnsi="Arial" w:cs="Arial"/>
                <w:sz w:val="20"/>
                <w:szCs w:val="20"/>
              </w:rPr>
              <w:t>Cost/M</w:t>
            </w:r>
            <w:r>
              <w:rPr>
                <w:rFonts w:ascii="Arial" w:hAnsi="Arial" w:cs="Arial"/>
                <w:sz w:val="20"/>
                <w:szCs w:val="20"/>
              </w:rPr>
              <w:t>onth</w:t>
            </w:r>
            <w:r>
              <w:rPr>
                <w:rFonts w:ascii="Arial" w:hAnsi="Arial" w:cs="Arial"/>
                <w:sz w:val="20"/>
                <w:szCs w:val="20"/>
              </w:rPr>
              <w:t>/</w:t>
            </w:r>
            <w:r>
              <w:rPr>
                <w:rFonts w:ascii="Arial" w:hAnsi="Arial" w:cs="Arial"/>
                <w:sz w:val="20"/>
                <w:szCs w:val="20"/>
              </w:rPr>
              <w:t>MD*</w:t>
            </w:r>
          </w:p>
        </w:tc>
        <w:tc>
          <w:tcPr>
            <w:tcW w:w="13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D1985E" w14:textId="77777777" w:rsidR="00EB1938" w:rsidRDefault="00EB1938" w:rsidP="00EB1938">
            <w:pPr>
              <w:spacing w:after="0" w:line="240" w:lineRule="auto"/>
              <w:jc w:val="center"/>
              <w:rPr>
                <w:rFonts w:ascii="Arial" w:hAnsi="Arial" w:cs="Arial"/>
                <w:sz w:val="20"/>
                <w:szCs w:val="20"/>
              </w:rPr>
            </w:pPr>
            <w:r>
              <w:rPr>
                <w:rFonts w:ascii="Arial" w:hAnsi="Arial" w:cs="Arial"/>
                <w:sz w:val="20"/>
                <w:szCs w:val="20"/>
              </w:rPr>
              <w:t>MDs</w:t>
            </w:r>
          </w:p>
        </w:tc>
        <w:tc>
          <w:tcPr>
            <w:tcW w:w="1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F0452" w14:textId="77777777" w:rsidR="00EB1938" w:rsidRDefault="00EB1938" w:rsidP="00EB1938">
            <w:pPr>
              <w:spacing w:after="0" w:line="240" w:lineRule="auto"/>
              <w:jc w:val="center"/>
              <w:rPr>
                <w:rFonts w:ascii="Arial" w:hAnsi="Arial" w:cs="Arial"/>
                <w:sz w:val="20"/>
                <w:szCs w:val="20"/>
              </w:rPr>
            </w:pPr>
            <w:r>
              <w:rPr>
                <w:rFonts w:ascii="Arial" w:hAnsi="Arial" w:cs="Arial"/>
                <w:sz w:val="20"/>
                <w:szCs w:val="20"/>
              </w:rPr>
              <w:t>Years</w:t>
            </w:r>
          </w:p>
        </w:tc>
        <w:tc>
          <w:tcPr>
            <w:tcW w:w="1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E5A424" w14:textId="77777777" w:rsidR="00EB1938" w:rsidRDefault="00EB1938" w:rsidP="00EB1938">
            <w:pPr>
              <w:spacing w:after="0" w:line="240" w:lineRule="auto"/>
              <w:jc w:val="center"/>
              <w:rPr>
                <w:rFonts w:ascii="Arial" w:hAnsi="Arial" w:cs="Arial"/>
                <w:sz w:val="20"/>
                <w:szCs w:val="20"/>
              </w:rPr>
            </w:pPr>
            <w:r>
              <w:rPr>
                <w:rFonts w:ascii="Arial" w:hAnsi="Arial" w:cs="Arial"/>
                <w:sz w:val="20"/>
                <w:szCs w:val="20"/>
              </w:rPr>
              <w:t>Cost</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D6D7B7" w14:textId="77777777" w:rsidR="00EB1938" w:rsidRDefault="00EB1938" w:rsidP="00EB1938">
            <w:pPr>
              <w:spacing w:after="0" w:line="240" w:lineRule="auto"/>
              <w:jc w:val="center"/>
              <w:rPr>
                <w:rFonts w:ascii="Arial" w:hAnsi="Arial" w:cs="Arial"/>
                <w:sz w:val="20"/>
                <w:szCs w:val="20"/>
              </w:rPr>
            </w:pPr>
            <w:r>
              <w:rPr>
                <w:rFonts w:ascii="Arial" w:hAnsi="Arial" w:cs="Arial"/>
                <w:sz w:val="20"/>
                <w:szCs w:val="20"/>
              </w:rPr>
              <w:t>Notes</w:t>
            </w:r>
          </w:p>
        </w:tc>
      </w:tr>
      <w:tr w:rsidR="00EB1938" w14:paraId="195A8487" w14:textId="77777777" w:rsidTr="00EB1938">
        <w:tc>
          <w:tcPr>
            <w:tcW w:w="1257" w:type="dxa"/>
            <w:tcBorders>
              <w:top w:val="nil"/>
              <w:left w:val="single" w:sz="8" w:space="0" w:color="auto"/>
              <w:bottom w:val="single" w:sz="8" w:space="0" w:color="auto"/>
              <w:right w:val="single" w:sz="8" w:space="0" w:color="auto"/>
            </w:tcBorders>
          </w:tcPr>
          <w:p w14:paraId="2802FAF5" w14:textId="0687FAD1" w:rsidR="00EB1938" w:rsidRDefault="00EB1938" w:rsidP="00EB1938">
            <w:pPr>
              <w:spacing w:after="0" w:line="240" w:lineRule="auto"/>
              <w:jc w:val="center"/>
              <w:rPr>
                <w:rFonts w:ascii="Arial" w:hAnsi="Arial" w:cs="Arial"/>
                <w:sz w:val="20"/>
                <w:szCs w:val="20"/>
              </w:rPr>
            </w:pPr>
            <w:r>
              <w:rPr>
                <w:rFonts w:ascii="Arial" w:hAnsi="Arial" w:cs="Arial"/>
                <w:sz w:val="20"/>
                <w:szCs w:val="20"/>
              </w:rPr>
              <w:t>1</w:t>
            </w:r>
          </w:p>
        </w:tc>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71F64" w14:textId="069BF497" w:rsidR="00EB1938" w:rsidRDefault="00EB1938" w:rsidP="00EB1938">
            <w:pPr>
              <w:spacing w:after="0" w:line="240" w:lineRule="auto"/>
              <w:jc w:val="center"/>
              <w:rPr>
                <w:rFonts w:ascii="Arial" w:hAnsi="Arial" w:cs="Arial"/>
                <w:sz w:val="20"/>
                <w:szCs w:val="20"/>
              </w:rPr>
            </w:pPr>
            <w:r>
              <w:rPr>
                <w:rFonts w:ascii="Arial" w:hAnsi="Arial" w:cs="Arial"/>
                <w:sz w:val="20"/>
                <w:szCs w:val="20"/>
              </w:rPr>
              <w:t>$25</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75EBFF2A" w14:textId="77777777" w:rsidR="00EB1938" w:rsidRDefault="00EB1938" w:rsidP="00EB1938">
            <w:pPr>
              <w:spacing w:after="0" w:line="240" w:lineRule="auto"/>
              <w:jc w:val="center"/>
              <w:rPr>
                <w:rFonts w:ascii="Arial" w:hAnsi="Arial" w:cs="Arial"/>
                <w:sz w:val="20"/>
                <w:szCs w:val="20"/>
              </w:rPr>
            </w:pPr>
            <w:r>
              <w:rPr>
                <w:rFonts w:ascii="Arial" w:hAnsi="Arial" w:cs="Arial"/>
                <w:sz w:val="20"/>
                <w:szCs w:val="20"/>
              </w:rPr>
              <w:t>1,200</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14:paraId="79A8E52A" w14:textId="77777777" w:rsidR="00EB1938" w:rsidRDefault="00EB1938" w:rsidP="00EB1938">
            <w:pPr>
              <w:spacing w:after="0" w:line="240" w:lineRule="auto"/>
              <w:jc w:val="center"/>
              <w:rPr>
                <w:rFonts w:ascii="Arial" w:hAnsi="Arial" w:cs="Arial"/>
                <w:sz w:val="20"/>
                <w:szCs w:val="20"/>
              </w:rPr>
            </w:pPr>
            <w:r>
              <w:rPr>
                <w:rFonts w:ascii="Arial" w:hAnsi="Arial" w:cs="Arial"/>
                <w:sz w:val="20"/>
                <w:szCs w:val="20"/>
              </w:rPr>
              <w:t>2</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5F6C86A6" w14:textId="77777777" w:rsidR="00EB1938" w:rsidRDefault="00EB1938" w:rsidP="00EB1938">
            <w:pPr>
              <w:spacing w:after="0" w:line="240" w:lineRule="auto"/>
              <w:jc w:val="center"/>
              <w:rPr>
                <w:rFonts w:ascii="Arial" w:hAnsi="Arial" w:cs="Arial"/>
                <w:sz w:val="20"/>
                <w:szCs w:val="20"/>
              </w:rPr>
            </w:pPr>
            <w:r>
              <w:rPr>
                <w:rFonts w:ascii="Arial" w:hAnsi="Arial" w:cs="Arial"/>
                <w:sz w:val="20"/>
                <w:szCs w:val="20"/>
              </w:rPr>
              <w:t>$720,000</w:t>
            </w:r>
          </w:p>
        </w:tc>
        <w:tc>
          <w:tcPr>
            <w:tcW w:w="2010" w:type="dxa"/>
            <w:tcBorders>
              <w:top w:val="nil"/>
              <w:left w:val="nil"/>
              <w:bottom w:val="single" w:sz="8" w:space="0" w:color="auto"/>
              <w:right w:val="single" w:sz="8" w:space="0" w:color="auto"/>
            </w:tcBorders>
            <w:tcMar>
              <w:top w:w="0" w:type="dxa"/>
              <w:left w:w="108" w:type="dxa"/>
              <w:bottom w:w="0" w:type="dxa"/>
              <w:right w:w="108" w:type="dxa"/>
            </w:tcMar>
            <w:hideMark/>
          </w:tcPr>
          <w:p w14:paraId="61767B06" w14:textId="77777777" w:rsidR="00EB1938" w:rsidRDefault="00EB1938" w:rsidP="00EB1938">
            <w:pPr>
              <w:spacing w:after="0" w:line="240" w:lineRule="auto"/>
              <w:rPr>
                <w:rFonts w:ascii="Arial" w:hAnsi="Arial" w:cs="Arial"/>
                <w:sz w:val="20"/>
                <w:szCs w:val="20"/>
              </w:rPr>
            </w:pPr>
            <w:r>
              <w:rPr>
                <w:rFonts w:ascii="Arial" w:hAnsi="Arial" w:cs="Arial"/>
                <w:sz w:val="20"/>
                <w:szCs w:val="20"/>
              </w:rPr>
              <w:t>More than minimum sample size improves inference, two years allows for trend comparison</w:t>
            </w:r>
          </w:p>
        </w:tc>
      </w:tr>
      <w:tr w:rsidR="00EB1938" w14:paraId="45BE1BE1" w14:textId="77777777" w:rsidTr="00EB1938">
        <w:tc>
          <w:tcPr>
            <w:tcW w:w="1257" w:type="dxa"/>
            <w:tcBorders>
              <w:top w:val="nil"/>
              <w:left w:val="single" w:sz="8" w:space="0" w:color="auto"/>
              <w:bottom w:val="single" w:sz="8" w:space="0" w:color="auto"/>
              <w:right w:val="single" w:sz="8" w:space="0" w:color="auto"/>
            </w:tcBorders>
          </w:tcPr>
          <w:p w14:paraId="758BC2C8" w14:textId="29ADDEF9" w:rsidR="00EB1938" w:rsidRDefault="00EB1938" w:rsidP="00EB1938">
            <w:pPr>
              <w:spacing w:after="0" w:line="240" w:lineRule="auto"/>
              <w:jc w:val="center"/>
              <w:rPr>
                <w:rFonts w:ascii="Arial" w:hAnsi="Arial" w:cs="Arial"/>
                <w:sz w:val="20"/>
                <w:szCs w:val="20"/>
              </w:rPr>
            </w:pPr>
            <w:r>
              <w:rPr>
                <w:rFonts w:ascii="Arial" w:hAnsi="Arial" w:cs="Arial"/>
                <w:sz w:val="20"/>
                <w:szCs w:val="20"/>
              </w:rPr>
              <w:t>2</w:t>
            </w:r>
          </w:p>
        </w:tc>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ADF5F" w14:textId="15624207" w:rsidR="00EB1938" w:rsidRDefault="00EB1938" w:rsidP="00EB1938">
            <w:pPr>
              <w:spacing w:after="0" w:line="240" w:lineRule="auto"/>
              <w:jc w:val="center"/>
              <w:rPr>
                <w:rFonts w:ascii="Arial" w:hAnsi="Arial" w:cs="Arial"/>
                <w:sz w:val="20"/>
                <w:szCs w:val="20"/>
              </w:rPr>
            </w:pPr>
            <w:r>
              <w:rPr>
                <w:rFonts w:ascii="Arial" w:hAnsi="Arial" w:cs="Arial"/>
                <w:sz w:val="20"/>
                <w:szCs w:val="20"/>
              </w:rPr>
              <w:t>$25</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10781F6C" w14:textId="77777777" w:rsidR="00EB1938" w:rsidRDefault="00EB1938" w:rsidP="00EB1938">
            <w:pPr>
              <w:spacing w:after="0" w:line="240" w:lineRule="auto"/>
              <w:jc w:val="center"/>
              <w:rPr>
                <w:rFonts w:ascii="Arial" w:hAnsi="Arial" w:cs="Arial"/>
                <w:sz w:val="20"/>
                <w:szCs w:val="20"/>
              </w:rPr>
            </w:pPr>
            <w:r>
              <w:rPr>
                <w:rFonts w:ascii="Arial" w:hAnsi="Arial" w:cs="Arial"/>
                <w:sz w:val="20"/>
                <w:szCs w:val="20"/>
              </w:rPr>
              <w:t>1,200</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14:paraId="6B5A38E4" w14:textId="77777777" w:rsidR="00EB1938" w:rsidRDefault="00EB1938" w:rsidP="00EB1938">
            <w:pPr>
              <w:spacing w:after="0" w:line="240" w:lineRule="auto"/>
              <w:jc w:val="center"/>
              <w:rPr>
                <w:rFonts w:ascii="Arial" w:hAnsi="Arial" w:cs="Arial"/>
                <w:sz w:val="20"/>
                <w:szCs w:val="20"/>
              </w:rPr>
            </w:pPr>
            <w:r>
              <w:rPr>
                <w:rFonts w:ascii="Arial" w:hAnsi="Arial" w:cs="Arial"/>
                <w:sz w:val="20"/>
                <w:szCs w:val="20"/>
              </w:rPr>
              <w:t>1</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7F4567AE" w14:textId="77777777" w:rsidR="00EB1938" w:rsidRDefault="00EB1938" w:rsidP="00EB1938">
            <w:pPr>
              <w:spacing w:after="0" w:line="240" w:lineRule="auto"/>
              <w:jc w:val="center"/>
              <w:rPr>
                <w:rFonts w:ascii="Arial" w:hAnsi="Arial" w:cs="Arial"/>
                <w:sz w:val="20"/>
                <w:szCs w:val="20"/>
              </w:rPr>
            </w:pPr>
            <w:r>
              <w:rPr>
                <w:rFonts w:ascii="Arial" w:hAnsi="Arial" w:cs="Arial"/>
                <w:sz w:val="20"/>
                <w:szCs w:val="20"/>
              </w:rPr>
              <w:t>$360,000</w:t>
            </w:r>
          </w:p>
        </w:tc>
        <w:tc>
          <w:tcPr>
            <w:tcW w:w="2010" w:type="dxa"/>
            <w:tcBorders>
              <w:top w:val="nil"/>
              <w:left w:val="nil"/>
              <w:bottom w:val="single" w:sz="8" w:space="0" w:color="auto"/>
              <w:right w:val="single" w:sz="8" w:space="0" w:color="auto"/>
            </w:tcBorders>
            <w:tcMar>
              <w:top w:w="0" w:type="dxa"/>
              <w:left w:w="108" w:type="dxa"/>
              <w:bottom w:w="0" w:type="dxa"/>
              <w:right w:w="108" w:type="dxa"/>
            </w:tcMar>
            <w:hideMark/>
          </w:tcPr>
          <w:p w14:paraId="24A76AEF" w14:textId="77777777" w:rsidR="00EB1938" w:rsidRDefault="00EB1938" w:rsidP="00EB1938">
            <w:pPr>
              <w:spacing w:after="0" w:line="240" w:lineRule="auto"/>
              <w:rPr>
                <w:rFonts w:ascii="Arial" w:hAnsi="Arial" w:cs="Arial"/>
                <w:sz w:val="20"/>
                <w:szCs w:val="20"/>
              </w:rPr>
            </w:pPr>
            <w:r>
              <w:rPr>
                <w:rFonts w:ascii="Arial" w:hAnsi="Arial" w:cs="Arial"/>
                <w:sz w:val="20"/>
                <w:szCs w:val="20"/>
              </w:rPr>
              <w:t>More than minimum sample size improves inference, does not allow for trend comparison</w:t>
            </w:r>
          </w:p>
        </w:tc>
      </w:tr>
      <w:tr w:rsidR="00EB1938" w14:paraId="79D9623F" w14:textId="77777777" w:rsidTr="00EB1938">
        <w:tc>
          <w:tcPr>
            <w:tcW w:w="1257" w:type="dxa"/>
            <w:tcBorders>
              <w:top w:val="nil"/>
              <w:left w:val="single" w:sz="8" w:space="0" w:color="auto"/>
              <w:bottom w:val="single" w:sz="8" w:space="0" w:color="auto"/>
              <w:right w:val="single" w:sz="8" w:space="0" w:color="auto"/>
            </w:tcBorders>
          </w:tcPr>
          <w:p w14:paraId="11C8B116" w14:textId="0E4FAF08" w:rsidR="00EB1938" w:rsidRDefault="00EB1938" w:rsidP="00EB1938">
            <w:pPr>
              <w:spacing w:after="0" w:line="240" w:lineRule="auto"/>
              <w:jc w:val="center"/>
              <w:rPr>
                <w:rFonts w:ascii="Arial" w:hAnsi="Arial" w:cs="Arial"/>
                <w:sz w:val="20"/>
                <w:szCs w:val="20"/>
              </w:rPr>
            </w:pPr>
            <w:r>
              <w:rPr>
                <w:rFonts w:ascii="Arial" w:hAnsi="Arial" w:cs="Arial"/>
                <w:sz w:val="20"/>
                <w:szCs w:val="20"/>
              </w:rPr>
              <w:t>3</w:t>
            </w:r>
          </w:p>
        </w:tc>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06466" w14:textId="0DBC745C" w:rsidR="00EB1938" w:rsidRDefault="00EB1938" w:rsidP="00EB1938">
            <w:pPr>
              <w:spacing w:after="0" w:line="240" w:lineRule="auto"/>
              <w:jc w:val="center"/>
              <w:rPr>
                <w:rFonts w:ascii="Arial" w:hAnsi="Arial" w:cs="Arial"/>
                <w:sz w:val="20"/>
                <w:szCs w:val="20"/>
              </w:rPr>
            </w:pPr>
            <w:r>
              <w:rPr>
                <w:rFonts w:ascii="Arial" w:hAnsi="Arial" w:cs="Arial"/>
                <w:sz w:val="20"/>
                <w:szCs w:val="20"/>
              </w:rPr>
              <w:t>$25</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265878D8" w14:textId="5B128E72" w:rsidR="00EB1938" w:rsidRDefault="00EB1938" w:rsidP="00EB1938">
            <w:pPr>
              <w:spacing w:after="0" w:line="240" w:lineRule="auto"/>
              <w:jc w:val="center"/>
              <w:rPr>
                <w:rFonts w:ascii="Arial" w:hAnsi="Arial" w:cs="Arial"/>
                <w:sz w:val="20"/>
                <w:szCs w:val="20"/>
              </w:rPr>
            </w:pPr>
            <w:r>
              <w:rPr>
                <w:rFonts w:ascii="Arial" w:hAnsi="Arial" w:cs="Arial"/>
                <w:sz w:val="20"/>
                <w:szCs w:val="20"/>
              </w:rPr>
              <w:t>7</w:t>
            </w:r>
            <w:r>
              <w:rPr>
                <w:rFonts w:ascii="Arial" w:hAnsi="Arial" w:cs="Arial"/>
                <w:sz w:val="20"/>
                <w:szCs w:val="20"/>
              </w:rPr>
              <w:t>00</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14:paraId="2B20BD81" w14:textId="77777777" w:rsidR="00EB1938" w:rsidRDefault="00EB1938" w:rsidP="00EB1938">
            <w:pPr>
              <w:spacing w:after="0" w:line="240" w:lineRule="auto"/>
              <w:jc w:val="center"/>
              <w:rPr>
                <w:rFonts w:ascii="Arial" w:hAnsi="Arial" w:cs="Arial"/>
                <w:sz w:val="20"/>
                <w:szCs w:val="20"/>
              </w:rPr>
            </w:pPr>
            <w:r>
              <w:rPr>
                <w:rFonts w:ascii="Arial" w:hAnsi="Arial" w:cs="Arial"/>
                <w:sz w:val="20"/>
                <w:szCs w:val="20"/>
              </w:rPr>
              <w:t>2</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2212B8D6" w14:textId="77777777" w:rsidR="00EB1938" w:rsidRDefault="00EB1938" w:rsidP="00EB1938">
            <w:pPr>
              <w:spacing w:after="0" w:line="240" w:lineRule="auto"/>
              <w:jc w:val="center"/>
              <w:rPr>
                <w:rFonts w:ascii="Arial" w:hAnsi="Arial" w:cs="Arial"/>
                <w:sz w:val="20"/>
                <w:szCs w:val="20"/>
              </w:rPr>
            </w:pPr>
            <w:r>
              <w:rPr>
                <w:rFonts w:ascii="Arial" w:hAnsi="Arial" w:cs="Arial"/>
                <w:sz w:val="20"/>
                <w:szCs w:val="20"/>
              </w:rPr>
              <w:t>$420,000</w:t>
            </w:r>
          </w:p>
        </w:tc>
        <w:tc>
          <w:tcPr>
            <w:tcW w:w="2010" w:type="dxa"/>
            <w:tcBorders>
              <w:top w:val="nil"/>
              <w:left w:val="nil"/>
              <w:bottom w:val="single" w:sz="8" w:space="0" w:color="auto"/>
              <w:right w:val="single" w:sz="8" w:space="0" w:color="auto"/>
            </w:tcBorders>
            <w:tcMar>
              <w:top w:w="0" w:type="dxa"/>
              <w:left w:w="108" w:type="dxa"/>
              <w:bottom w:w="0" w:type="dxa"/>
              <w:right w:w="108" w:type="dxa"/>
            </w:tcMar>
            <w:hideMark/>
          </w:tcPr>
          <w:p w14:paraId="43499B58" w14:textId="77777777" w:rsidR="00EB1938" w:rsidRDefault="00EB1938" w:rsidP="00EB1938">
            <w:pPr>
              <w:spacing w:after="0" w:line="240" w:lineRule="auto"/>
              <w:rPr>
                <w:rFonts w:ascii="Arial" w:hAnsi="Arial" w:cs="Arial"/>
                <w:sz w:val="20"/>
                <w:szCs w:val="20"/>
              </w:rPr>
            </w:pPr>
            <w:r>
              <w:rPr>
                <w:rFonts w:ascii="Arial" w:hAnsi="Arial" w:cs="Arial"/>
                <w:sz w:val="20"/>
                <w:szCs w:val="20"/>
              </w:rPr>
              <w:t>Minimum sample size, two years allows for trend comparison</w:t>
            </w:r>
          </w:p>
        </w:tc>
      </w:tr>
      <w:tr w:rsidR="00EB1938" w14:paraId="55F677EC" w14:textId="77777777" w:rsidTr="00EB1938">
        <w:tc>
          <w:tcPr>
            <w:tcW w:w="1257" w:type="dxa"/>
            <w:tcBorders>
              <w:top w:val="nil"/>
              <w:left w:val="single" w:sz="8" w:space="0" w:color="auto"/>
              <w:bottom w:val="single" w:sz="8" w:space="0" w:color="auto"/>
              <w:right w:val="single" w:sz="8" w:space="0" w:color="auto"/>
            </w:tcBorders>
          </w:tcPr>
          <w:p w14:paraId="002807D9" w14:textId="21FA7EB4" w:rsidR="00EB1938" w:rsidRDefault="00EB1938" w:rsidP="00EB1938">
            <w:pPr>
              <w:spacing w:after="0" w:line="240" w:lineRule="auto"/>
              <w:jc w:val="center"/>
              <w:rPr>
                <w:rFonts w:ascii="Arial" w:hAnsi="Arial" w:cs="Arial"/>
                <w:sz w:val="20"/>
                <w:szCs w:val="20"/>
              </w:rPr>
            </w:pPr>
            <w:r>
              <w:rPr>
                <w:rFonts w:ascii="Arial" w:hAnsi="Arial" w:cs="Arial"/>
                <w:sz w:val="20"/>
                <w:szCs w:val="20"/>
              </w:rPr>
              <w:t>4</w:t>
            </w:r>
          </w:p>
        </w:tc>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AFE94" w14:textId="5B3E4D4A" w:rsidR="00EB1938" w:rsidRDefault="00EB1938" w:rsidP="00EB1938">
            <w:pPr>
              <w:spacing w:after="0" w:line="240" w:lineRule="auto"/>
              <w:jc w:val="center"/>
              <w:rPr>
                <w:rFonts w:ascii="Arial" w:hAnsi="Arial" w:cs="Arial"/>
                <w:sz w:val="20"/>
                <w:szCs w:val="20"/>
              </w:rPr>
            </w:pPr>
            <w:r>
              <w:rPr>
                <w:rFonts w:ascii="Arial" w:hAnsi="Arial" w:cs="Arial"/>
                <w:sz w:val="20"/>
                <w:szCs w:val="20"/>
              </w:rPr>
              <w:t>$25</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0C2538A1" w14:textId="77777777" w:rsidR="00EB1938" w:rsidRDefault="00EB1938" w:rsidP="00EB1938">
            <w:pPr>
              <w:spacing w:after="0" w:line="240" w:lineRule="auto"/>
              <w:jc w:val="center"/>
              <w:rPr>
                <w:rFonts w:ascii="Arial" w:hAnsi="Arial" w:cs="Arial"/>
                <w:sz w:val="20"/>
                <w:szCs w:val="20"/>
              </w:rPr>
            </w:pPr>
            <w:r>
              <w:rPr>
                <w:rFonts w:ascii="Arial" w:hAnsi="Arial" w:cs="Arial"/>
                <w:sz w:val="20"/>
                <w:szCs w:val="20"/>
              </w:rPr>
              <w:t>700</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14:paraId="0AFA2932" w14:textId="77777777" w:rsidR="00EB1938" w:rsidRDefault="00EB1938" w:rsidP="00EB1938">
            <w:pPr>
              <w:spacing w:after="0" w:line="240" w:lineRule="auto"/>
              <w:jc w:val="center"/>
              <w:rPr>
                <w:rFonts w:ascii="Arial" w:hAnsi="Arial" w:cs="Arial"/>
                <w:sz w:val="20"/>
                <w:szCs w:val="20"/>
              </w:rPr>
            </w:pPr>
            <w:r>
              <w:rPr>
                <w:rFonts w:ascii="Arial" w:hAnsi="Arial" w:cs="Arial"/>
                <w:sz w:val="20"/>
                <w:szCs w:val="20"/>
              </w:rPr>
              <w:t>1</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3A0B1930" w14:textId="77777777" w:rsidR="00EB1938" w:rsidRDefault="00EB1938" w:rsidP="00EB1938">
            <w:pPr>
              <w:spacing w:after="0" w:line="240" w:lineRule="auto"/>
              <w:jc w:val="center"/>
              <w:rPr>
                <w:rFonts w:ascii="Arial" w:hAnsi="Arial" w:cs="Arial"/>
                <w:sz w:val="20"/>
                <w:szCs w:val="20"/>
              </w:rPr>
            </w:pPr>
            <w:r>
              <w:rPr>
                <w:rFonts w:ascii="Arial" w:hAnsi="Arial" w:cs="Arial"/>
                <w:sz w:val="20"/>
                <w:szCs w:val="20"/>
              </w:rPr>
              <w:t>$210,000</w:t>
            </w:r>
          </w:p>
        </w:tc>
        <w:tc>
          <w:tcPr>
            <w:tcW w:w="2010" w:type="dxa"/>
            <w:tcBorders>
              <w:top w:val="nil"/>
              <w:left w:val="nil"/>
              <w:bottom w:val="single" w:sz="8" w:space="0" w:color="auto"/>
              <w:right w:val="single" w:sz="8" w:space="0" w:color="auto"/>
            </w:tcBorders>
            <w:tcMar>
              <w:top w:w="0" w:type="dxa"/>
              <w:left w:w="108" w:type="dxa"/>
              <w:bottom w:w="0" w:type="dxa"/>
              <w:right w:w="108" w:type="dxa"/>
            </w:tcMar>
            <w:hideMark/>
          </w:tcPr>
          <w:p w14:paraId="56D21EDA" w14:textId="77777777" w:rsidR="00EB1938" w:rsidRDefault="00EB1938" w:rsidP="00EB1938">
            <w:pPr>
              <w:spacing w:after="0" w:line="240" w:lineRule="auto"/>
              <w:rPr>
                <w:rFonts w:ascii="Arial" w:hAnsi="Arial" w:cs="Arial"/>
                <w:sz w:val="20"/>
                <w:szCs w:val="20"/>
              </w:rPr>
            </w:pPr>
            <w:r>
              <w:rPr>
                <w:rFonts w:ascii="Arial" w:hAnsi="Arial" w:cs="Arial"/>
                <w:sz w:val="20"/>
                <w:szCs w:val="20"/>
              </w:rPr>
              <w:t>Minimum sample size, does not allow for trend comparison</w:t>
            </w:r>
          </w:p>
        </w:tc>
      </w:tr>
    </w:tbl>
    <w:p w14:paraId="48D227C1" w14:textId="77777777" w:rsidR="00EB1938" w:rsidRDefault="00EB1938" w:rsidP="002320C4">
      <w:pPr>
        <w:jc w:val="both"/>
        <w:rPr>
          <w:rFonts w:ascii="Arial" w:hAnsi="Arial" w:cs="Arial"/>
          <w:lang w:val="en-US"/>
        </w:rPr>
      </w:pPr>
    </w:p>
    <w:p w14:paraId="52DAFC77" w14:textId="6C407902" w:rsidR="002B24C7" w:rsidRPr="00155D5A" w:rsidRDefault="00EB1938" w:rsidP="002320C4">
      <w:pPr>
        <w:jc w:val="both"/>
        <w:rPr>
          <w:rFonts w:ascii="Arial" w:hAnsi="Arial" w:cs="Arial"/>
          <w:b/>
          <w:lang w:val="en-US"/>
        </w:rPr>
      </w:pPr>
      <w:r w:rsidRPr="00155D5A">
        <w:rPr>
          <w:rFonts w:ascii="Arial" w:hAnsi="Arial" w:cs="Arial"/>
          <w:b/>
          <w:lang w:val="en-US"/>
        </w:rPr>
        <w:t>Motion</w:t>
      </w:r>
    </w:p>
    <w:p w14:paraId="020129A7" w14:textId="3899E530" w:rsidR="00EB1938" w:rsidRDefault="00EB1938" w:rsidP="002320C4">
      <w:pPr>
        <w:jc w:val="both"/>
        <w:rPr>
          <w:rFonts w:ascii="Arial" w:hAnsi="Arial" w:cs="Arial"/>
          <w:lang w:val="en-US"/>
        </w:rPr>
      </w:pPr>
      <w:r>
        <w:rPr>
          <w:rFonts w:ascii="Arial" w:hAnsi="Arial" w:cs="Arial"/>
          <w:lang w:val="en-US"/>
        </w:rPr>
        <w:t xml:space="preserve">That Board approves a budget </w:t>
      </w:r>
      <w:r w:rsidR="00155D5A">
        <w:rPr>
          <w:rFonts w:ascii="Arial" w:hAnsi="Arial" w:cs="Arial"/>
          <w:lang w:val="en-US"/>
        </w:rPr>
        <w:t xml:space="preserve">to allow the SGFP to engage into a contract negotiations with TELUS for the purpose of obtaining a data extract for a representative sample of FHG and FHO physicians. </w:t>
      </w:r>
    </w:p>
    <w:p w14:paraId="22D809A0" w14:textId="77777777" w:rsidR="002B24C7" w:rsidRDefault="002B24C7" w:rsidP="002320C4">
      <w:pPr>
        <w:jc w:val="both"/>
        <w:rPr>
          <w:rFonts w:ascii="Arial" w:hAnsi="Arial" w:cs="Arial"/>
          <w:lang w:val="en-US"/>
        </w:rPr>
      </w:pPr>
      <w:bookmarkStart w:id="0" w:name="_GoBack"/>
      <w:bookmarkEnd w:id="0"/>
    </w:p>
    <w:p w14:paraId="6C6ABE0A" w14:textId="77777777" w:rsidR="000315DB" w:rsidRDefault="000315DB" w:rsidP="002320C4">
      <w:pPr>
        <w:jc w:val="both"/>
        <w:rPr>
          <w:rFonts w:ascii="Arial" w:hAnsi="Arial" w:cs="Arial"/>
          <w:b/>
          <w:u w:val="single"/>
          <w:lang w:val="en-US"/>
        </w:rPr>
      </w:pPr>
      <w:r w:rsidRPr="000315DB">
        <w:rPr>
          <w:rFonts w:ascii="Arial" w:hAnsi="Arial" w:cs="Arial"/>
          <w:b/>
          <w:u w:val="single"/>
          <w:lang w:val="en-US"/>
        </w:rPr>
        <w:t>Timelines and Next Steps</w:t>
      </w:r>
    </w:p>
    <w:p w14:paraId="56098383" w14:textId="77777777" w:rsidR="000315DB" w:rsidRDefault="000315DB" w:rsidP="002320C4">
      <w:pPr>
        <w:jc w:val="both"/>
        <w:rPr>
          <w:rFonts w:ascii="Arial" w:hAnsi="Arial" w:cs="Arial"/>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482"/>
      </w:tblGrid>
      <w:tr w:rsidR="00A8378F" w:rsidRPr="00A8378F" w14:paraId="6610527E" w14:textId="77777777" w:rsidTr="00CC3D21">
        <w:tc>
          <w:tcPr>
            <w:tcW w:w="1701" w:type="dxa"/>
            <w:shd w:val="clear" w:color="auto" w:fill="002060"/>
          </w:tcPr>
          <w:p w14:paraId="4607186C" w14:textId="77777777" w:rsidR="00A8378F" w:rsidRPr="00A8378F" w:rsidRDefault="00A8378F" w:rsidP="00CC3D21">
            <w:pPr>
              <w:spacing w:line="360" w:lineRule="auto"/>
              <w:jc w:val="both"/>
              <w:rPr>
                <w:rFonts w:ascii="Arial" w:hAnsi="Arial" w:cs="Arial"/>
                <w:b/>
                <w:lang w:val="en-US"/>
              </w:rPr>
            </w:pPr>
            <w:r w:rsidRPr="00A8378F">
              <w:rPr>
                <w:rFonts w:ascii="Arial" w:hAnsi="Arial" w:cs="Arial"/>
                <w:b/>
                <w:lang w:val="en-US"/>
              </w:rPr>
              <w:t>Timeline</w:t>
            </w:r>
          </w:p>
        </w:tc>
        <w:tc>
          <w:tcPr>
            <w:tcW w:w="7482" w:type="dxa"/>
            <w:shd w:val="clear" w:color="auto" w:fill="002060"/>
          </w:tcPr>
          <w:p w14:paraId="1940CD4A" w14:textId="77777777" w:rsidR="00A8378F" w:rsidRPr="00A8378F" w:rsidRDefault="00A8378F" w:rsidP="00CC3D21">
            <w:pPr>
              <w:spacing w:line="360" w:lineRule="auto"/>
              <w:jc w:val="both"/>
              <w:rPr>
                <w:rFonts w:ascii="Arial" w:hAnsi="Arial" w:cs="Arial"/>
                <w:b/>
                <w:lang w:val="en-US"/>
              </w:rPr>
            </w:pPr>
            <w:r w:rsidRPr="00A8378F">
              <w:rPr>
                <w:rFonts w:ascii="Arial" w:hAnsi="Arial" w:cs="Arial"/>
                <w:b/>
                <w:lang w:val="en-US"/>
              </w:rPr>
              <w:t>Activity</w:t>
            </w:r>
          </w:p>
        </w:tc>
      </w:tr>
      <w:tr w:rsidR="000315DB" w:rsidRPr="000315DB" w14:paraId="7829B55A" w14:textId="77777777" w:rsidTr="00CC3D21">
        <w:tc>
          <w:tcPr>
            <w:tcW w:w="1701" w:type="dxa"/>
            <w:tcBorders>
              <w:bottom w:val="single" w:sz="4" w:space="0" w:color="auto"/>
            </w:tcBorders>
          </w:tcPr>
          <w:p w14:paraId="1B3997F9" w14:textId="77777777" w:rsidR="000315DB" w:rsidRPr="000315DB" w:rsidRDefault="000315DB" w:rsidP="00CC3D21">
            <w:pPr>
              <w:spacing w:line="360" w:lineRule="auto"/>
              <w:rPr>
                <w:rFonts w:ascii="Arial" w:hAnsi="Arial" w:cs="Arial"/>
                <w:lang w:val="en-US"/>
              </w:rPr>
            </w:pPr>
            <w:r w:rsidRPr="000315DB">
              <w:rPr>
                <w:rFonts w:ascii="Arial" w:hAnsi="Arial" w:cs="Arial"/>
                <w:lang w:val="en-US"/>
              </w:rPr>
              <w:t>Sep 11</w:t>
            </w:r>
            <w:r w:rsidR="00CC3D21">
              <w:rPr>
                <w:rFonts w:ascii="Arial" w:hAnsi="Arial" w:cs="Arial"/>
                <w:lang w:val="en-US"/>
              </w:rPr>
              <w:t>, 2019</w:t>
            </w:r>
          </w:p>
        </w:tc>
        <w:tc>
          <w:tcPr>
            <w:tcW w:w="7482" w:type="dxa"/>
            <w:tcBorders>
              <w:bottom w:val="single" w:sz="4" w:space="0" w:color="auto"/>
            </w:tcBorders>
          </w:tcPr>
          <w:p w14:paraId="0B87EA07" w14:textId="77777777" w:rsidR="000315DB" w:rsidRPr="000315DB" w:rsidRDefault="000315DB" w:rsidP="00CC3D21">
            <w:pPr>
              <w:spacing w:line="360" w:lineRule="auto"/>
              <w:rPr>
                <w:rFonts w:ascii="Arial" w:hAnsi="Arial" w:cs="Arial"/>
                <w:lang w:val="en-US"/>
              </w:rPr>
            </w:pPr>
            <w:r w:rsidRPr="000315DB">
              <w:rPr>
                <w:rFonts w:ascii="Arial" w:hAnsi="Arial" w:cs="Arial"/>
                <w:lang w:val="en-US"/>
              </w:rPr>
              <w:t>Board approves the financial support for the project</w:t>
            </w:r>
          </w:p>
        </w:tc>
      </w:tr>
      <w:tr w:rsidR="000315DB" w:rsidRPr="000315DB" w14:paraId="4752DB60" w14:textId="77777777" w:rsidTr="00CC3D21">
        <w:tc>
          <w:tcPr>
            <w:tcW w:w="1701" w:type="dxa"/>
            <w:tcBorders>
              <w:top w:val="single" w:sz="4" w:space="0" w:color="auto"/>
              <w:bottom w:val="single" w:sz="4" w:space="0" w:color="auto"/>
            </w:tcBorders>
          </w:tcPr>
          <w:p w14:paraId="731F4157" w14:textId="77777777" w:rsidR="000315DB" w:rsidRPr="000315DB" w:rsidRDefault="00A8378F" w:rsidP="00CC3D21">
            <w:pPr>
              <w:spacing w:line="360" w:lineRule="auto"/>
              <w:rPr>
                <w:rFonts w:ascii="Arial" w:hAnsi="Arial" w:cs="Arial"/>
                <w:lang w:val="en-US"/>
              </w:rPr>
            </w:pPr>
            <w:r>
              <w:rPr>
                <w:rFonts w:ascii="Arial" w:hAnsi="Arial" w:cs="Arial"/>
                <w:lang w:val="en-US"/>
              </w:rPr>
              <w:t>September</w:t>
            </w:r>
          </w:p>
        </w:tc>
        <w:tc>
          <w:tcPr>
            <w:tcW w:w="7482" w:type="dxa"/>
            <w:tcBorders>
              <w:top w:val="single" w:sz="4" w:space="0" w:color="auto"/>
              <w:bottom w:val="single" w:sz="4" w:space="0" w:color="auto"/>
            </w:tcBorders>
          </w:tcPr>
          <w:p w14:paraId="111AAC5B" w14:textId="7F59F3ED" w:rsidR="000315DB" w:rsidRPr="000315DB" w:rsidRDefault="000315DB" w:rsidP="004063F9">
            <w:pPr>
              <w:spacing w:line="360" w:lineRule="auto"/>
              <w:rPr>
                <w:rFonts w:ascii="Arial" w:hAnsi="Arial" w:cs="Arial"/>
                <w:lang w:val="en-US"/>
              </w:rPr>
            </w:pPr>
            <w:r>
              <w:rPr>
                <w:rFonts w:ascii="Arial" w:hAnsi="Arial" w:cs="Arial"/>
                <w:lang w:val="en-US"/>
              </w:rPr>
              <w:t xml:space="preserve">SGFP to negotiate the data extract contract with </w:t>
            </w:r>
            <w:r w:rsidR="004063F9">
              <w:rPr>
                <w:rFonts w:ascii="Arial" w:hAnsi="Arial" w:cs="Arial"/>
                <w:lang w:val="en-US"/>
              </w:rPr>
              <w:t>TELUS</w:t>
            </w:r>
            <w:r>
              <w:rPr>
                <w:rFonts w:ascii="Arial" w:hAnsi="Arial" w:cs="Arial"/>
                <w:lang w:val="en-US"/>
              </w:rPr>
              <w:t>, with assistance from the OMA Finance</w:t>
            </w:r>
          </w:p>
        </w:tc>
      </w:tr>
      <w:tr w:rsidR="000315DB" w:rsidRPr="000315DB" w14:paraId="296A9517" w14:textId="77777777" w:rsidTr="00CC3D21">
        <w:tc>
          <w:tcPr>
            <w:tcW w:w="1701" w:type="dxa"/>
            <w:tcBorders>
              <w:top w:val="single" w:sz="4" w:space="0" w:color="auto"/>
              <w:bottom w:val="single" w:sz="4" w:space="0" w:color="auto"/>
            </w:tcBorders>
          </w:tcPr>
          <w:p w14:paraId="50B6D42E" w14:textId="77777777" w:rsidR="00A8378F" w:rsidRDefault="00A8378F" w:rsidP="00CC3D21">
            <w:pPr>
              <w:spacing w:line="360" w:lineRule="auto"/>
              <w:rPr>
                <w:rFonts w:ascii="Arial" w:hAnsi="Arial" w:cs="Arial"/>
                <w:lang w:val="en-US"/>
              </w:rPr>
            </w:pPr>
            <w:r>
              <w:rPr>
                <w:rFonts w:ascii="Arial" w:hAnsi="Arial" w:cs="Arial"/>
                <w:lang w:val="en-US"/>
              </w:rPr>
              <w:t>September</w:t>
            </w:r>
          </w:p>
          <w:p w14:paraId="10F6CE8B" w14:textId="77777777" w:rsidR="000315DB" w:rsidRPr="000315DB" w:rsidRDefault="00A8378F" w:rsidP="00CC3D21">
            <w:pPr>
              <w:spacing w:line="360" w:lineRule="auto"/>
              <w:rPr>
                <w:rFonts w:ascii="Arial" w:hAnsi="Arial" w:cs="Arial"/>
                <w:lang w:val="en-US"/>
              </w:rPr>
            </w:pPr>
            <w:r>
              <w:rPr>
                <w:rFonts w:ascii="Arial" w:hAnsi="Arial" w:cs="Arial"/>
                <w:lang w:val="en-US"/>
              </w:rPr>
              <w:t>/October</w:t>
            </w:r>
          </w:p>
        </w:tc>
        <w:tc>
          <w:tcPr>
            <w:tcW w:w="7482" w:type="dxa"/>
            <w:tcBorders>
              <w:top w:val="single" w:sz="4" w:space="0" w:color="auto"/>
              <w:bottom w:val="single" w:sz="4" w:space="0" w:color="auto"/>
            </w:tcBorders>
          </w:tcPr>
          <w:p w14:paraId="675E5833" w14:textId="77777777" w:rsidR="000315DB" w:rsidRPr="000315DB" w:rsidRDefault="000315DB" w:rsidP="00CC3D21">
            <w:pPr>
              <w:spacing w:line="360" w:lineRule="auto"/>
              <w:rPr>
                <w:rFonts w:ascii="Arial" w:hAnsi="Arial" w:cs="Arial"/>
                <w:lang w:val="en-US"/>
              </w:rPr>
            </w:pPr>
            <w:r>
              <w:rPr>
                <w:rFonts w:ascii="Arial" w:hAnsi="Arial" w:cs="Arial"/>
                <w:lang w:val="en-US"/>
              </w:rPr>
              <w:t xml:space="preserve">SGFP to obtain a representative sample of potential participants in collaboration with </w:t>
            </w:r>
            <w:proofErr w:type="spellStart"/>
            <w:r>
              <w:rPr>
                <w:rFonts w:ascii="Arial" w:hAnsi="Arial" w:cs="Arial"/>
                <w:lang w:val="en-US"/>
              </w:rPr>
              <w:t>OntarioMD</w:t>
            </w:r>
            <w:proofErr w:type="spellEnd"/>
          </w:p>
        </w:tc>
      </w:tr>
      <w:tr w:rsidR="000315DB" w:rsidRPr="000315DB" w14:paraId="2E3A909A" w14:textId="77777777" w:rsidTr="00CC3D21">
        <w:tc>
          <w:tcPr>
            <w:tcW w:w="1701" w:type="dxa"/>
            <w:tcBorders>
              <w:top w:val="single" w:sz="4" w:space="0" w:color="auto"/>
              <w:bottom w:val="single" w:sz="4" w:space="0" w:color="auto"/>
            </w:tcBorders>
          </w:tcPr>
          <w:p w14:paraId="78E650CB" w14:textId="77777777" w:rsidR="00A8378F" w:rsidRDefault="00A8378F" w:rsidP="00CC3D21">
            <w:pPr>
              <w:spacing w:line="360" w:lineRule="auto"/>
              <w:rPr>
                <w:rFonts w:ascii="Arial" w:hAnsi="Arial" w:cs="Arial"/>
                <w:lang w:val="en-US"/>
              </w:rPr>
            </w:pPr>
            <w:r>
              <w:rPr>
                <w:rFonts w:ascii="Arial" w:hAnsi="Arial" w:cs="Arial"/>
                <w:lang w:val="en-US"/>
              </w:rPr>
              <w:t>September</w:t>
            </w:r>
          </w:p>
          <w:p w14:paraId="36B679DA" w14:textId="77777777" w:rsidR="000315DB" w:rsidRPr="000315DB" w:rsidRDefault="00A8378F" w:rsidP="00CC3D21">
            <w:pPr>
              <w:spacing w:line="360" w:lineRule="auto"/>
              <w:rPr>
                <w:rFonts w:ascii="Arial" w:hAnsi="Arial" w:cs="Arial"/>
                <w:lang w:val="en-US"/>
              </w:rPr>
            </w:pPr>
            <w:r>
              <w:rPr>
                <w:rFonts w:ascii="Arial" w:hAnsi="Arial" w:cs="Arial"/>
                <w:lang w:val="en-US"/>
              </w:rPr>
              <w:t>/October</w:t>
            </w:r>
          </w:p>
        </w:tc>
        <w:tc>
          <w:tcPr>
            <w:tcW w:w="7482" w:type="dxa"/>
            <w:tcBorders>
              <w:top w:val="single" w:sz="4" w:space="0" w:color="auto"/>
              <w:bottom w:val="single" w:sz="4" w:space="0" w:color="auto"/>
            </w:tcBorders>
          </w:tcPr>
          <w:p w14:paraId="116D6EA6" w14:textId="77777777" w:rsidR="000315DB" w:rsidRPr="000315DB" w:rsidRDefault="000315DB" w:rsidP="00CC3D21">
            <w:pPr>
              <w:spacing w:line="360" w:lineRule="auto"/>
              <w:rPr>
                <w:rFonts w:ascii="Arial" w:hAnsi="Arial" w:cs="Arial"/>
                <w:lang w:val="en-US"/>
              </w:rPr>
            </w:pPr>
            <w:r>
              <w:rPr>
                <w:rFonts w:ascii="Arial" w:hAnsi="Arial" w:cs="Arial"/>
                <w:lang w:val="en-US"/>
              </w:rPr>
              <w:t>SGFP to work with OMA Legal to develop consent forms for participating physicians</w:t>
            </w:r>
          </w:p>
        </w:tc>
      </w:tr>
      <w:tr w:rsidR="000315DB" w:rsidRPr="000315DB" w14:paraId="23BAD18F" w14:textId="77777777" w:rsidTr="00CC3D21">
        <w:tc>
          <w:tcPr>
            <w:tcW w:w="1701" w:type="dxa"/>
            <w:tcBorders>
              <w:top w:val="single" w:sz="4" w:space="0" w:color="auto"/>
              <w:bottom w:val="single" w:sz="4" w:space="0" w:color="auto"/>
            </w:tcBorders>
          </w:tcPr>
          <w:p w14:paraId="17CA2390" w14:textId="77777777" w:rsidR="000315DB" w:rsidRDefault="00A8378F" w:rsidP="00CC3D21">
            <w:pPr>
              <w:spacing w:line="360" w:lineRule="auto"/>
              <w:rPr>
                <w:rFonts w:ascii="Arial" w:hAnsi="Arial" w:cs="Arial"/>
                <w:lang w:val="en-US"/>
              </w:rPr>
            </w:pPr>
            <w:r>
              <w:rPr>
                <w:rFonts w:ascii="Arial" w:hAnsi="Arial" w:cs="Arial"/>
                <w:lang w:val="en-US"/>
              </w:rPr>
              <w:lastRenderedPageBreak/>
              <w:t>October/</w:t>
            </w:r>
          </w:p>
          <w:p w14:paraId="40C306F5" w14:textId="77777777" w:rsidR="00A8378F" w:rsidRPr="000315DB" w:rsidRDefault="00A8378F" w:rsidP="00CC3D21">
            <w:pPr>
              <w:spacing w:line="360" w:lineRule="auto"/>
              <w:rPr>
                <w:rFonts w:ascii="Arial" w:hAnsi="Arial" w:cs="Arial"/>
                <w:lang w:val="en-US"/>
              </w:rPr>
            </w:pPr>
            <w:r>
              <w:rPr>
                <w:rFonts w:ascii="Arial" w:hAnsi="Arial" w:cs="Arial"/>
                <w:lang w:val="en-US"/>
              </w:rPr>
              <w:t>November</w:t>
            </w:r>
          </w:p>
        </w:tc>
        <w:tc>
          <w:tcPr>
            <w:tcW w:w="7482" w:type="dxa"/>
            <w:tcBorders>
              <w:top w:val="single" w:sz="4" w:space="0" w:color="auto"/>
              <w:bottom w:val="single" w:sz="4" w:space="0" w:color="auto"/>
            </w:tcBorders>
          </w:tcPr>
          <w:p w14:paraId="14EEAEF6" w14:textId="77777777" w:rsidR="000315DB" w:rsidRPr="000315DB" w:rsidRDefault="000315DB" w:rsidP="00CC3D21">
            <w:pPr>
              <w:spacing w:line="360" w:lineRule="auto"/>
              <w:rPr>
                <w:rFonts w:ascii="Arial" w:hAnsi="Arial" w:cs="Arial"/>
                <w:lang w:val="en-US"/>
              </w:rPr>
            </w:pPr>
            <w:r>
              <w:rPr>
                <w:rFonts w:ascii="Arial" w:hAnsi="Arial" w:cs="Arial"/>
                <w:lang w:val="en-US"/>
              </w:rPr>
              <w:t>SGFP, in collaboration with OMA, to obtain consent from physicians in the sample</w:t>
            </w:r>
          </w:p>
        </w:tc>
      </w:tr>
      <w:tr w:rsidR="000315DB" w:rsidRPr="000315DB" w14:paraId="4FD4AAD0" w14:textId="77777777" w:rsidTr="00CC3D21">
        <w:tc>
          <w:tcPr>
            <w:tcW w:w="1701" w:type="dxa"/>
            <w:tcBorders>
              <w:top w:val="single" w:sz="4" w:space="0" w:color="auto"/>
              <w:bottom w:val="single" w:sz="4" w:space="0" w:color="auto"/>
            </w:tcBorders>
          </w:tcPr>
          <w:p w14:paraId="51062BA5" w14:textId="77777777" w:rsidR="000315DB" w:rsidRPr="000315DB" w:rsidRDefault="00A8378F" w:rsidP="00CC3D21">
            <w:pPr>
              <w:spacing w:line="360" w:lineRule="auto"/>
              <w:rPr>
                <w:rFonts w:ascii="Arial" w:hAnsi="Arial" w:cs="Arial"/>
                <w:lang w:val="en-US"/>
              </w:rPr>
            </w:pPr>
            <w:r>
              <w:rPr>
                <w:rFonts w:ascii="Arial" w:hAnsi="Arial" w:cs="Arial"/>
                <w:lang w:val="en-US"/>
              </w:rPr>
              <w:t>November</w:t>
            </w:r>
          </w:p>
        </w:tc>
        <w:tc>
          <w:tcPr>
            <w:tcW w:w="7482" w:type="dxa"/>
            <w:tcBorders>
              <w:top w:val="single" w:sz="4" w:space="0" w:color="auto"/>
              <w:bottom w:val="single" w:sz="4" w:space="0" w:color="auto"/>
            </w:tcBorders>
          </w:tcPr>
          <w:p w14:paraId="74C54AD4" w14:textId="632051AA" w:rsidR="000315DB" w:rsidRPr="000315DB" w:rsidRDefault="000315DB" w:rsidP="004063F9">
            <w:pPr>
              <w:spacing w:line="360" w:lineRule="auto"/>
              <w:rPr>
                <w:rFonts w:ascii="Arial" w:hAnsi="Arial" w:cs="Arial"/>
                <w:lang w:val="en-US"/>
              </w:rPr>
            </w:pPr>
            <w:r>
              <w:rPr>
                <w:rFonts w:ascii="Arial" w:hAnsi="Arial" w:cs="Arial"/>
                <w:lang w:val="en-US"/>
              </w:rPr>
              <w:t xml:space="preserve">SGFP to provide the list to </w:t>
            </w:r>
            <w:r w:rsidR="004063F9">
              <w:rPr>
                <w:rFonts w:ascii="Arial" w:hAnsi="Arial" w:cs="Arial"/>
                <w:lang w:val="en-US"/>
              </w:rPr>
              <w:t>TELUS</w:t>
            </w:r>
          </w:p>
        </w:tc>
      </w:tr>
      <w:tr w:rsidR="000315DB" w:rsidRPr="000315DB" w14:paraId="07B5B352" w14:textId="77777777" w:rsidTr="00CC3D21">
        <w:tc>
          <w:tcPr>
            <w:tcW w:w="1701" w:type="dxa"/>
            <w:tcBorders>
              <w:top w:val="single" w:sz="4" w:space="0" w:color="auto"/>
              <w:bottom w:val="single" w:sz="4" w:space="0" w:color="auto"/>
            </w:tcBorders>
          </w:tcPr>
          <w:p w14:paraId="2CA9DAE2" w14:textId="77777777" w:rsidR="000315DB" w:rsidRPr="000315DB" w:rsidRDefault="00A8378F" w:rsidP="00CC3D21">
            <w:pPr>
              <w:spacing w:line="360" w:lineRule="auto"/>
              <w:rPr>
                <w:rFonts w:ascii="Arial" w:hAnsi="Arial" w:cs="Arial"/>
                <w:lang w:val="en-US"/>
              </w:rPr>
            </w:pPr>
            <w:r>
              <w:rPr>
                <w:rFonts w:ascii="Arial" w:hAnsi="Arial" w:cs="Arial"/>
                <w:lang w:val="en-US"/>
              </w:rPr>
              <w:t>November</w:t>
            </w:r>
          </w:p>
        </w:tc>
        <w:tc>
          <w:tcPr>
            <w:tcW w:w="7482" w:type="dxa"/>
            <w:tcBorders>
              <w:top w:val="single" w:sz="4" w:space="0" w:color="auto"/>
              <w:bottom w:val="single" w:sz="4" w:space="0" w:color="auto"/>
            </w:tcBorders>
          </w:tcPr>
          <w:p w14:paraId="0B3EEA78" w14:textId="4B4BB430" w:rsidR="000315DB" w:rsidRDefault="004063F9" w:rsidP="00CC3D21">
            <w:pPr>
              <w:spacing w:line="360" w:lineRule="auto"/>
              <w:rPr>
                <w:rFonts w:ascii="Arial" w:hAnsi="Arial" w:cs="Arial"/>
                <w:lang w:val="en-US"/>
              </w:rPr>
            </w:pPr>
            <w:r>
              <w:rPr>
                <w:rFonts w:ascii="Arial" w:hAnsi="Arial" w:cs="Arial"/>
                <w:lang w:val="en-US"/>
              </w:rPr>
              <w:t>TELUS</w:t>
            </w:r>
            <w:r w:rsidR="000315DB">
              <w:rPr>
                <w:rFonts w:ascii="Arial" w:hAnsi="Arial" w:cs="Arial"/>
                <w:lang w:val="en-US"/>
              </w:rPr>
              <w:t xml:space="preserve"> to extract data</w:t>
            </w:r>
          </w:p>
        </w:tc>
      </w:tr>
      <w:tr w:rsidR="000315DB" w:rsidRPr="000315DB" w14:paraId="1BD7270A" w14:textId="77777777" w:rsidTr="00CC3D21">
        <w:tc>
          <w:tcPr>
            <w:tcW w:w="1701" w:type="dxa"/>
            <w:tcBorders>
              <w:top w:val="single" w:sz="4" w:space="0" w:color="auto"/>
              <w:bottom w:val="single" w:sz="4" w:space="0" w:color="auto"/>
            </w:tcBorders>
          </w:tcPr>
          <w:p w14:paraId="60AD0D54" w14:textId="77777777" w:rsidR="000315DB" w:rsidRPr="000315DB" w:rsidRDefault="00A8378F" w:rsidP="00CC3D21">
            <w:pPr>
              <w:spacing w:line="360" w:lineRule="auto"/>
              <w:rPr>
                <w:rFonts w:ascii="Arial" w:hAnsi="Arial" w:cs="Arial"/>
                <w:lang w:val="en-US"/>
              </w:rPr>
            </w:pPr>
            <w:r>
              <w:rPr>
                <w:rFonts w:ascii="Arial" w:hAnsi="Arial" w:cs="Arial"/>
                <w:lang w:val="en-US"/>
              </w:rPr>
              <w:t>December</w:t>
            </w:r>
          </w:p>
        </w:tc>
        <w:tc>
          <w:tcPr>
            <w:tcW w:w="7482" w:type="dxa"/>
            <w:tcBorders>
              <w:top w:val="single" w:sz="4" w:space="0" w:color="auto"/>
              <w:bottom w:val="single" w:sz="4" w:space="0" w:color="auto"/>
            </w:tcBorders>
          </w:tcPr>
          <w:p w14:paraId="69E546B9" w14:textId="77777777" w:rsidR="000315DB" w:rsidRDefault="000315DB" w:rsidP="00CC3D21">
            <w:pPr>
              <w:spacing w:line="360" w:lineRule="auto"/>
              <w:rPr>
                <w:rFonts w:ascii="Arial" w:hAnsi="Arial" w:cs="Arial"/>
                <w:lang w:val="en-US"/>
              </w:rPr>
            </w:pPr>
            <w:r>
              <w:rPr>
                <w:rFonts w:ascii="Arial" w:hAnsi="Arial" w:cs="Arial"/>
                <w:lang w:val="en-US"/>
              </w:rPr>
              <w:t>OMA EPR to analyze the data extract and prepare a summary report</w:t>
            </w:r>
          </w:p>
        </w:tc>
      </w:tr>
      <w:tr w:rsidR="000315DB" w:rsidRPr="000315DB" w14:paraId="4F3877A3" w14:textId="77777777" w:rsidTr="00CC3D21">
        <w:tc>
          <w:tcPr>
            <w:tcW w:w="1701" w:type="dxa"/>
            <w:tcBorders>
              <w:top w:val="single" w:sz="4" w:space="0" w:color="auto"/>
              <w:bottom w:val="single" w:sz="4" w:space="0" w:color="auto"/>
            </w:tcBorders>
          </w:tcPr>
          <w:p w14:paraId="28015977" w14:textId="77777777" w:rsidR="000315DB" w:rsidRPr="000315DB" w:rsidRDefault="00A8378F" w:rsidP="00CC3D21">
            <w:pPr>
              <w:spacing w:line="360" w:lineRule="auto"/>
              <w:rPr>
                <w:rFonts w:ascii="Arial" w:hAnsi="Arial" w:cs="Arial"/>
                <w:lang w:val="en-US"/>
              </w:rPr>
            </w:pPr>
            <w:r>
              <w:rPr>
                <w:rFonts w:ascii="Arial" w:hAnsi="Arial" w:cs="Arial"/>
                <w:lang w:val="en-US"/>
              </w:rPr>
              <w:t>January</w:t>
            </w:r>
            <w:r w:rsidR="00CC3D21">
              <w:rPr>
                <w:rFonts w:ascii="Arial" w:hAnsi="Arial" w:cs="Arial"/>
                <w:lang w:val="en-US"/>
              </w:rPr>
              <w:t xml:space="preserve"> 2020</w:t>
            </w:r>
          </w:p>
        </w:tc>
        <w:tc>
          <w:tcPr>
            <w:tcW w:w="7482" w:type="dxa"/>
            <w:tcBorders>
              <w:top w:val="single" w:sz="4" w:space="0" w:color="auto"/>
              <w:bottom w:val="single" w:sz="4" w:space="0" w:color="auto"/>
            </w:tcBorders>
          </w:tcPr>
          <w:p w14:paraId="56D1F1DC" w14:textId="77777777" w:rsidR="000315DB" w:rsidRDefault="000315DB" w:rsidP="00CC3D21">
            <w:pPr>
              <w:spacing w:line="360" w:lineRule="auto"/>
              <w:rPr>
                <w:rFonts w:ascii="Arial" w:hAnsi="Arial" w:cs="Arial"/>
                <w:lang w:val="en-US"/>
              </w:rPr>
            </w:pPr>
            <w:r>
              <w:rPr>
                <w:rFonts w:ascii="Arial" w:hAnsi="Arial" w:cs="Arial"/>
                <w:lang w:val="en-US"/>
              </w:rPr>
              <w:t>The summary report to be provided to SGFP, OMA Board, OMA Negotiations committee, and other parties as required, such as Multi-stakeholder Primary Care Working Group</w:t>
            </w:r>
          </w:p>
        </w:tc>
      </w:tr>
    </w:tbl>
    <w:p w14:paraId="44528593" w14:textId="77777777" w:rsidR="000315DB" w:rsidRDefault="000315DB" w:rsidP="002320C4">
      <w:pPr>
        <w:jc w:val="both"/>
        <w:rPr>
          <w:rFonts w:ascii="Arial" w:hAnsi="Arial" w:cs="Arial"/>
          <w:b/>
          <w:u w:val="single"/>
          <w:lang w:val="en-US"/>
        </w:rPr>
      </w:pPr>
    </w:p>
    <w:p w14:paraId="2CDB3EAE" w14:textId="77777777" w:rsidR="00CC3D21" w:rsidRPr="000315DB" w:rsidRDefault="00CC3D21" w:rsidP="002320C4">
      <w:pPr>
        <w:jc w:val="both"/>
        <w:rPr>
          <w:rFonts w:ascii="Arial" w:hAnsi="Arial" w:cs="Arial"/>
          <w:b/>
          <w:u w:val="single"/>
          <w:lang w:val="en-US"/>
        </w:rPr>
      </w:pPr>
    </w:p>
    <w:sectPr w:rsidR="00CC3D21" w:rsidRPr="000315D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B1C08" w14:textId="77777777" w:rsidR="002258EA" w:rsidRDefault="002258EA" w:rsidP="00CC3D21">
      <w:pPr>
        <w:spacing w:after="0" w:line="240" w:lineRule="auto"/>
      </w:pPr>
      <w:r>
        <w:separator/>
      </w:r>
    </w:p>
  </w:endnote>
  <w:endnote w:type="continuationSeparator" w:id="0">
    <w:p w14:paraId="7CB330F3" w14:textId="77777777" w:rsidR="002258EA" w:rsidRDefault="002258EA" w:rsidP="00CC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DF3B" w14:textId="77777777" w:rsidR="00CC3D21" w:rsidRDefault="00CC3D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E3696" w14:textId="77777777" w:rsidR="002258EA" w:rsidRDefault="002258EA" w:rsidP="00CC3D21">
      <w:pPr>
        <w:spacing w:after="0" w:line="240" w:lineRule="auto"/>
      </w:pPr>
      <w:r>
        <w:separator/>
      </w:r>
    </w:p>
  </w:footnote>
  <w:footnote w:type="continuationSeparator" w:id="0">
    <w:p w14:paraId="3BA29067" w14:textId="77777777" w:rsidR="002258EA" w:rsidRDefault="002258EA" w:rsidP="00CC3D21">
      <w:pPr>
        <w:spacing w:after="0" w:line="240" w:lineRule="auto"/>
      </w:pPr>
      <w:r>
        <w:continuationSeparator/>
      </w:r>
    </w:p>
  </w:footnote>
  <w:footnote w:id="1">
    <w:p w14:paraId="3763FD75" w14:textId="6543E345" w:rsidR="002B24C7" w:rsidRPr="002B24C7" w:rsidRDefault="002B24C7" w:rsidP="002B24C7">
      <w:pPr>
        <w:pStyle w:val="CommentText"/>
        <w:rPr>
          <w:rFonts w:ascii="Arial" w:hAnsi="Arial" w:cs="Arial"/>
          <w:sz w:val="20"/>
          <w:szCs w:val="20"/>
        </w:rPr>
      </w:pPr>
      <w:r>
        <w:rPr>
          <w:rStyle w:val="FootnoteReference"/>
        </w:rPr>
        <w:footnoteRef/>
      </w:r>
      <w:r>
        <w:t xml:space="preserve"> </w:t>
      </w:r>
      <w:r w:rsidRPr="002B24C7">
        <w:rPr>
          <w:rFonts w:ascii="Arial" w:hAnsi="Arial" w:cs="Arial"/>
          <w:sz w:val="20"/>
          <w:szCs w:val="20"/>
        </w:rPr>
        <w:t>Searches are often used from a recall or population management perspective. Their use will very from clinic to clinic, and between physicians.</w:t>
      </w:r>
      <w:r>
        <w:rPr>
          <w:rFonts w:ascii="Arial" w:hAnsi="Arial" w:cs="Arial"/>
          <w:sz w:val="20"/>
          <w:szCs w:val="20"/>
        </w:rPr>
        <w:t xml:space="preserve"> </w:t>
      </w:r>
      <w:r w:rsidRPr="002B24C7">
        <w:rPr>
          <w:rFonts w:ascii="Arial" w:hAnsi="Arial" w:cs="Arial"/>
          <w:sz w:val="20"/>
          <w:szCs w:val="20"/>
        </w:rPr>
        <w:t>Often, it may be hired STAFF running searches, especially in FHTs, where the data is mandated.</w:t>
      </w:r>
      <w:r>
        <w:rPr>
          <w:rFonts w:ascii="Arial" w:hAnsi="Arial" w:cs="Arial"/>
          <w:sz w:val="20"/>
          <w:szCs w:val="20"/>
        </w:rPr>
        <w:t xml:space="preserve">  In the data presented in Appendix B, this d</w:t>
      </w:r>
      <w:r w:rsidRPr="002B24C7">
        <w:rPr>
          <w:rFonts w:ascii="Arial" w:hAnsi="Arial" w:cs="Arial"/>
          <w:sz w:val="20"/>
          <w:szCs w:val="20"/>
        </w:rPr>
        <w:t xml:space="preserve">ata was restricted to just work done by </w:t>
      </w:r>
      <w:r>
        <w:rPr>
          <w:rFonts w:ascii="Arial" w:hAnsi="Arial" w:cs="Arial"/>
          <w:sz w:val="20"/>
          <w:szCs w:val="20"/>
        </w:rPr>
        <w:t>the physician</w:t>
      </w:r>
      <w:r w:rsidRPr="002B24C7">
        <w:rPr>
          <w:rFonts w:ascii="Arial" w:hAnsi="Arial" w:cs="Arial"/>
          <w:sz w:val="20"/>
          <w:szCs w:val="20"/>
        </w:rPr>
        <w:t xml:space="preserve"> personally. Some common examples of searches </w:t>
      </w:r>
      <w:r>
        <w:rPr>
          <w:rFonts w:ascii="Arial" w:hAnsi="Arial" w:cs="Arial"/>
          <w:sz w:val="20"/>
          <w:szCs w:val="20"/>
        </w:rPr>
        <w:t>used by this physician include</w:t>
      </w:r>
      <w:r w:rsidRPr="002B24C7">
        <w:rPr>
          <w:rFonts w:ascii="Arial" w:hAnsi="Arial" w:cs="Arial"/>
          <w:sz w:val="20"/>
          <w:szCs w:val="20"/>
        </w:rPr>
        <w:t>:</w:t>
      </w:r>
      <w:r>
        <w:rPr>
          <w:rFonts w:ascii="Arial" w:hAnsi="Arial" w:cs="Arial"/>
          <w:sz w:val="20"/>
          <w:szCs w:val="20"/>
        </w:rPr>
        <w:t xml:space="preserve"> </w:t>
      </w:r>
      <w:r w:rsidRPr="002B24C7">
        <w:rPr>
          <w:rFonts w:ascii="Arial" w:hAnsi="Arial" w:cs="Arial"/>
          <w:sz w:val="20"/>
          <w:szCs w:val="20"/>
        </w:rPr>
        <w:t>Identifying patients who are ov</w:t>
      </w:r>
      <w:r>
        <w:rPr>
          <w:rFonts w:ascii="Arial" w:hAnsi="Arial" w:cs="Arial"/>
          <w:sz w:val="20"/>
          <w:szCs w:val="20"/>
        </w:rPr>
        <w:t>erdue for certain tests or care; s</w:t>
      </w:r>
      <w:r w:rsidRPr="002B24C7">
        <w:rPr>
          <w:rFonts w:ascii="Arial" w:hAnsi="Arial" w:cs="Arial"/>
          <w:sz w:val="20"/>
          <w:szCs w:val="20"/>
        </w:rPr>
        <w:t>imply checking on roster size</w:t>
      </w:r>
      <w:r>
        <w:rPr>
          <w:rFonts w:ascii="Arial" w:hAnsi="Arial" w:cs="Arial"/>
          <w:sz w:val="20"/>
          <w:szCs w:val="20"/>
        </w:rPr>
        <w:t xml:space="preserve">; </w:t>
      </w:r>
      <w:r w:rsidRPr="002B24C7">
        <w:rPr>
          <w:rFonts w:ascii="Arial" w:hAnsi="Arial" w:cs="Arial"/>
          <w:sz w:val="20"/>
          <w:szCs w:val="20"/>
        </w:rPr>
        <w:t>identifying patients who</w:t>
      </w:r>
      <w:r>
        <w:rPr>
          <w:rFonts w:ascii="Arial" w:hAnsi="Arial" w:cs="Arial"/>
          <w:sz w:val="20"/>
          <w:szCs w:val="20"/>
        </w:rPr>
        <w:t xml:space="preserve"> may be on a certain medication; </w:t>
      </w:r>
      <w:r w:rsidRPr="002B24C7">
        <w:rPr>
          <w:rFonts w:ascii="Arial" w:hAnsi="Arial" w:cs="Arial"/>
          <w:sz w:val="20"/>
          <w:szCs w:val="20"/>
        </w:rPr>
        <w:t xml:space="preserve"> Identifying patient</w:t>
      </w:r>
      <w:r>
        <w:rPr>
          <w:rFonts w:ascii="Arial" w:hAnsi="Arial" w:cs="Arial"/>
          <w:sz w:val="20"/>
          <w:szCs w:val="20"/>
        </w:rPr>
        <w:t>s</w:t>
      </w:r>
      <w:r w:rsidRPr="002B24C7">
        <w:rPr>
          <w:rFonts w:ascii="Arial" w:hAnsi="Arial" w:cs="Arial"/>
          <w:sz w:val="20"/>
          <w:szCs w:val="20"/>
        </w:rPr>
        <w:t xml:space="preserve"> </w:t>
      </w:r>
      <w:proofErr w:type="spellStart"/>
      <w:r w:rsidRPr="002B24C7">
        <w:rPr>
          <w:rFonts w:ascii="Arial" w:hAnsi="Arial" w:cs="Arial"/>
          <w:sz w:val="20"/>
          <w:szCs w:val="20"/>
        </w:rPr>
        <w:t>whos</w:t>
      </w:r>
      <w:proofErr w:type="spellEnd"/>
      <w:r w:rsidRPr="002B24C7">
        <w:rPr>
          <w:rFonts w:ascii="Arial" w:hAnsi="Arial" w:cs="Arial"/>
          <w:sz w:val="20"/>
          <w:szCs w:val="20"/>
        </w:rPr>
        <w:t xml:space="preserve"> metrics are not to target (i.e. high blood pressures)</w:t>
      </w:r>
      <w:r>
        <w:rPr>
          <w:rFonts w:ascii="Arial" w:hAnsi="Arial" w:cs="Arial"/>
          <w:sz w:val="20"/>
          <w:szCs w:val="20"/>
        </w:rPr>
        <w:t xml:space="preserve">; </w:t>
      </w:r>
      <w:r w:rsidRPr="002B24C7">
        <w:rPr>
          <w:rFonts w:ascii="Arial" w:hAnsi="Arial" w:cs="Arial"/>
          <w:sz w:val="20"/>
          <w:szCs w:val="20"/>
        </w:rPr>
        <w:t>pre-emptively identifying patients who may fall due for opioid prescriptions when I am away on vacation the</w:t>
      </w:r>
      <w:r>
        <w:rPr>
          <w:rFonts w:ascii="Arial" w:hAnsi="Arial" w:cs="Arial"/>
          <w:sz w:val="20"/>
          <w:szCs w:val="20"/>
        </w:rPr>
        <w:t xml:space="preserve"> following week;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D0B2F"/>
    <w:multiLevelType w:val="hybridMultilevel"/>
    <w:tmpl w:val="73A2A3A0"/>
    <w:lvl w:ilvl="0" w:tplc="3BBE36B4">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024F1B"/>
    <w:multiLevelType w:val="hybridMultilevel"/>
    <w:tmpl w:val="2C9A9F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D0B7563"/>
    <w:multiLevelType w:val="hybridMultilevel"/>
    <w:tmpl w:val="667CFEB4"/>
    <w:lvl w:ilvl="0" w:tplc="5004FA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E7356"/>
    <w:multiLevelType w:val="hybridMultilevel"/>
    <w:tmpl w:val="1A741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1BB04AA"/>
    <w:multiLevelType w:val="hybridMultilevel"/>
    <w:tmpl w:val="789A13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61C1420"/>
    <w:multiLevelType w:val="hybridMultilevel"/>
    <w:tmpl w:val="7AAEC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94D7034"/>
    <w:multiLevelType w:val="hybridMultilevel"/>
    <w:tmpl w:val="780CDF36"/>
    <w:lvl w:ilvl="0" w:tplc="3BBE36B4">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9D434B1"/>
    <w:multiLevelType w:val="hybridMultilevel"/>
    <w:tmpl w:val="115A0E36"/>
    <w:lvl w:ilvl="0" w:tplc="3BBE36B4">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EAA4CE7"/>
    <w:multiLevelType w:val="hybridMultilevel"/>
    <w:tmpl w:val="F62A4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1"/>
  </w:num>
  <w:num w:numId="6">
    <w:abstractNumId w:val="8"/>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19"/>
    <w:rsid w:val="00002C2A"/>
    <w:rsid w:val="00020019"/>
    <w:rsid w:val="000315DB"/>
    <w:rsid w:val="00090383"/>
    <w:rsid w:val="000D5E13"/>
    <w:rsid w:val="00155D5A"/>
    <w:rsid w:val="001F1FB9"/>
    <w:rsid w:val="002258EA"/>
    <w:rsid w:val="002320C4"/>
    <w:rsid w:val="002355D3"/>
    <w:rsid w:val="00273419"/>
    <w:rsid w:val="002915A0"/>
    <w:rsid w:val="002B24C7"/>
    <w:rsid w:val="002F770B"/>
    <w:rsid w:val="003A34E9"/>
    <w:rsid w:val="004000FE"/>
    <w:rsid w:val="004063F9"/>
    <w:rsid w:val="0044660D"/>
    <w:rsid w:val="00462C89"/>
    <w:rsid w:val="004F7582"/>
    <w:rsid w:val="00512A23"/>
    <w:rsid w:val="005750F9"/>
    <w:rsid w:val="005E5F22"/>
    <w:rsid w:val="006211A9"/>
    <w:rsid w:val="0062679D"/>
    <w:rsid w:val="0063738A"/>
    <w:rsid w:val="00676977"/>
    <w:rsid w:val="006828A6"/>
    <w:rsid w:val="006921B9"/>
    <w:rsid w:val="007909C1"/>
    <w:rsid w:val="008230FD"/>
    <w:rsid w:val="0084189A"/>
    <w:rsid w:val="008649D3"/>
    <w:rsid w:val="009006AA"/>
    <w:rsid w:val="009365C1"/>
    <w:rsid w:val="0096664B"/>
    <w:rsid w:val="00966727"/>
    <w:rsid w:val="009770DD"/>
    <w:rsid w:val="009E1D72"/>
    <w:rsid w:val="00A1514F"/>
    <w:rsid w:val="00A536E1"/>
    <w:rsid w:val="00A55D37"/>
    <w:rsid w:val="00A8378F"/>
    <w:rsid w:val="00B0571A"/>
    <w:rsid w:val="00B504E7"/>
    <w:rsid w:val="00B65613"/>
    <w:rsid w:val="00BA0F21"/>
    <w:rsid w:val="00C6415D"/>
    <w:rsid w:val="00C72344"/>
    <w:rsid w:val="00CC3D21"/>
    <w:rsid w:val="00CF0BEF"/>
    <w:rsid w:val="00D00593"/>
    <w:rsid w:val="00D87A8B"/>
    <w:rsid w:val="00DC6297"/>
    <w:rsid w:val="00DD104B"/>
    <w:rsid w:val="00E22DD0"/>
    <w:rsid w:val="00EB1938"/>
    <w:rsid w:val="00F020FB"/>
    <w:rsid w:val="00FA02FD"/>
    <w:rsid w:val="00FA7688"/>
    <w:rsid w:val="00FB27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D213"/>
  <w15:chartTrackingRefBased/>
  <w15:docId w15:val="{F37CAF11-209D-4B9D-B0BF-6BEEB3CB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6AA"/>
    <w:pPr>
      <w:ind w:left="720"/>
      <w:contextualSpacing/>
    </w:pPr>
  </w:style>
  <w:style w:type="table" w:styleId="TableGrid">
    <w:name w:val="Table Grid"/>
    <w:basedOn w:val="TableNormal"/>
    <w:uiPriority w:val="59"/>
    <w:rsid w:val="00031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A02FD"/>
    <w:pPr>
      <w:spacing w:after="0" w:line="240" w:lineRule="auto"/>
    </w:pPr>
    <w:rPr>
      <w:rFonts w:ascii="Calibri" w:eastAsia="Calibri" w:hAnsi="Calibri" w:cs="Times New Roman"/>
      <w:sz w:val="20"/>
      <w:szCs w:val="20"/>
      <w:lang w:eastAsia="en-C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A0F21"/>
    <w:rPr>
      <w:sz w:val="18"/>
      <w:szCs w:val="18"/>
    </w:rPr>
  </w:style>
  <w:style w:type="paragraph" w:styleId="CommentText">
    <w:name w:val="annotation text"/>
    <w:basedOn w:val="Normal"/>
    <w:link w:val="CommentTextChar"/>
    <w:uiPriority w:val="99"/>
    <w:unhideWhenUsed/>
    <w:rsid w:val="00BA0F21"/>
    <w:pPr>
      <w:spacing w:line="240" w:lineRule="auto"/>
    </w:pPr>
    <w:rPr>
      <w:sz w:val="24"/>
      <w:szCs w:val="24"/>
    </w:rPr>
  </w:style>
  <w:style w:type="character" w:customStyle="1" w:styleId="CommentTextChar">
    <w:name w:val="Comment Text Char"/>
    <w:basedOn w:val="DefaultParagraphFont"/>
    <w:link w:val="CommentText"/>
    <w:uiPriority w:val="99"/>
    <w:rsid w:val="00BA0F21"/>
    <w:rPr>
      <w:sz w:val="24"/>
      <w:szCs w:val="24"/>
    </w:rPr>
  </w:style>
  <w:style w:type="paragraph" w:styleId="CommentSubject">
    <w:name w:val="annotation subject"/>
    <w:basedOn w:val="CommentText"/>
    <w:next w:val="CommentText"/>
    <w:link w:val="CommentSubjectChar"/>
    <w:uiPriority w:val="99"/>
    <w:semiHidden/>
    <w:unhideWhenUsed/>
    <w:rsid w:val="00BA0F21"/>
    <w:rPr>
      <w:b/>
      <w:bCs/>
      <w:sz w:val="20"/>
      <w:szCs w:val="20"/>
    </w:rPr>
  </w:style>
  <w:style w:type="character" w:customStyle="1" w:styleId="CommentSubjectChar">
    <w:name w:val="Comment Subject Char"/>
    <w:basedOn w:val="CommentTextChar"/>
    <w:link w:val="CommentSubject"/>
    <w:uiPriority w:val="99"/>
    <w:semiHidden/>
    <w:rsid w:val="00BA0F21"/>
    <w:rPr>
      <w:b/>
      <w:bCs/>
      <w:sz w:val="20"/>
      <w:szCs w:val="20"/>
    </w:rPr>
  </w:style>
  <w:style w:type="paragraph" w:styleId="BalloonText">
    <w:name w:val="Balloon Text"/>
    <w:basedOn w:val="Normal"/>
    <w:link w:val="BalloonTextChar"/>
    <w:uiPriority w:val="99"/>
    <w:semiHidden/>
    <w:unhideWhenUsed/>
    <w:rsid w:val="00BA0F2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0F21"/>
    <w:rPr>
      <w:rFonts w:ascii="Times New Roman" w:hAnsi="Times New Roman" w:cs="Times New Roman"/>
      <w:sz w:val="18"/>
      <w:szCs w:val="18"/>
    </w:rPr>
  </w:style>
  <w:style w:type="character" w:styleId="Hyperlink">
    <w:name w:val="Hyperlink"/>
    <w:basedOn w:val="DefaultParagraphFont"/>
    <w:uiPriority w:val="99"/>
    <w:unhideWhenUsed/>
    <w:rsid w:val="00FB2703"/>
    <w:rPr>
      <w:color w:val="0000FF" w:themeColor="hyperlink"/>
      <w:u w:val="single"/>
    </w:rPr>
  </w:style>
  <w:style w:type="paragraph" w:styleId="FootnoteText">
    <w:name w:val="footnote text"/>
    <w:basedOn w:val="Normal"/>
    <w:link w:val="FootnoteTextChar"/>
    <w:uiPriority w:val="99"/>
    <w:semiHidden/>
    <w:unhideWhenUsed/>
    <w:rsid w:val="002B24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24C7"/>
    <w:rPr>
      <w:sz w:val="20"/>
      <w:szCs w:val="20"/>
    </w:rPr>
  </w:style>
  <w:style w:type="character" w:styleId="FootnoteReference">
    <w:name w:val="footnote reference"/>
    <w:basedOn w:val="DefaultParagraphFont"/>
    <w:uiPriority w:val="99"/>
    <w:semiHidden/>
    <w:unhideWhenUsed/>
    <w:rsid w:val="002B24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46773">
      <w:bodyDiv w:val="1"/>
      <w:marLeft w:val="0"/>
      <w:marRight w:val="0"/>
      <w:marTop w:val="0"/>
      <w:marBottom w:val="0"/>
      <w:divBdr>
        <w:top w:val="none" w:sz="0" w:space="0" w:color="auto"/>
        <w:left w:val="none" w:sz="0" w:space="0" w:color="auto"/>
        <w:bottom w:val="none" w:sz="0" w:space="0" w:color="auto"/>
        <w:right w:val="none" w:sz="0" w:space="0" w:color="auto"/>
      </w:divBdr>
    </w:div>
    <w:div w:id="21258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wartmedicine.com/wp-content/uploads/2019/04/EMR-Data-Extraction-Proposa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04A3-8FAC-4978-87BE-0811916F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Ontario Medical Association</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Kantarevic, Jasmin</dc:creator>
  <cp:keywords/>
  <dc:description/>
  <cp:lastModifiedBy>Kantarevic, Jasmin</cp:lastModifiedBy>
  <cp:revision>2</cp:revision>
  <dcterms:created xsi:type="dcterms:W3CDTF">2019-08-21T19:27:00Z</dcterms:created>
  <dcterms:modified xsi:type="dcterms:W3CDTF">2019-08-21T19:27:00Z</dcterms:modified>
</cp:coreProperties>
</file>